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8C_822/2014 vom 23. März 2015</w:t>
      </w:r>
    </w:p>
    <w:p>
      <w:r>
        <w:t>Bundesgericht, 2015-03-23, DE</w:t>
      </w:r>
    </w:p>
    <w:p>
      <w:r>
        <w:rPr>
          <w:b/>
        </w:rPr>
        <w:t xml:space="preserve">Quelle: </w:t>
      </w:r>
      <w:r>
        <w:t>https://mcp.opencaselaw.ch/entscheid/bger_8C_822_2014</w:t>
      </w:r>
    </w:p>
    <w:p>
      <w:r>
        <w:t>FR: TF 8C_822/2014 du 23 mars 2015</w:t>
      </w:r>
    </w:p>
    <w:p>
      <w:r>
        <w:t>IT: TF 8C_822/2014 del 23 marzo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Unrechtmässig bezogene Familienzulagen sind zurückzuerstatten ( Art. 1 FamZG in Verbindung mit Art. 25 Abs. 1 ATSG ). Der Rückforderungsanspruch erlischt mit dem Ablauf eines Jahres, nachdem die Versicherungseinrichtung davon Kenntnis erhalten hat, spätestens aber mit dem Ablauf von fünf Jahren nach der Entrichtung der einzelnen Leistung (Art. 25 Abs. 2 erster Satz ATSG).</w:t>
      </w:r>
    </w:p>
    <w:p>
      <w:r>
        <w:t>Wer Leistungen in gutem Glauben empfangen hat, muss sie nicht zurückerstatten, wenn eine grosse Härte vorliegt (Art. 25 Abs. 1 zweiter Satz ATSG). Nähere Regelungen zu diesem Erlass der Rückerstattung enthält Art. 4 ATSV .</w:t>
      </w:r>
    </w:p>
    <w:p>
      <w:r>
        <w:rPr>
          <w:b/>
        </w:rPr>
        <w:t>E. 3</w:t>
      </w:r>
    </w:p>
    <w:p>
      <w:r>
        <w:t>Streitig und zu beurteilen ist, ob eine rechtskräftige Rückforderungsverfügung vorliegt und allenfalls ein Erlass der Rückforderung zu prüfen ist oder ob die Vorinstanz zu Unrecht die Eingabe vom 8. Januar 2013 des Beschwerdeführers nicht als Einsprache ( Art. 52 Abs. 1 ATSG ), sondern bloss als Erlassgesuch wertete und dementsprechend das Schreiben vom 15. Februar 2013 als verspätete Einsprache gegen die Rückforderung qualifizierte.</w:t>
      </w:r>
    </w:p>
    <w:p>
      <w:r>
        <w:rPr>
          <w:b/>
        </w:rPr>
        <w:t>E. 3.1</w:t>
      </w:r>
    </w:p>
    <w:p>
      <w:r>
        <w:t>Die Vorinstanz führte hierzu aus, obwohl die Eingabe vom 8. Januar 2013 als "Einsprache" betitelt sei, habe sich der Beschwerdeführer inhaltlich nicht gegen die Rückforderung gewendet. Es gäbe keine Anhaltspunkte dafür, dass er die Rechtmässigkeit der Rückforderung bezweifelt hätte; so habe er auch deren "Vollerlass" und nicht deren Aufhebung beantragt. Ein starkes Indiz für die ausschliessliche Qualifikation der Eingabe als Erlassgesuch sei auch der Umstand, dass er auf die Mitteilung der Beschwerdegegnerin vom 11. Januar 2013, sie werde sein Erlassgesuch bearbeiten, sobald die Rückforderungsverfügung in formelle Rechtskraft erwachsen sei, nicht reagiert habe. Die Beschwerdegegnerin habe sich in ihrem Einspracheentscheid vom 28. Oktober 2013 fälschlicherweise mit der Rechtmässigkeit der Rückforderung auseinandergesetzt. Die Frage, ob die Rückforderung verwirkt sei, könne nicht mehr beantwortet werden.</w:t>
      </w:r>
    </w:p>
    <w:p>
      <w:r>
        <w:rPr>
          <w:b/>
        </w:rPr>
        <w:t>E. 3.2</w:t>
      </w:r>
    </w:p>
    <w:p>
      <w:r>
        <w:t>Dementgegen stellt sich der Beschwerdeführer auf den Standpunkt, er habe gegen die Rückforderungsverfügung vom 13. Dezember 2012 fristgerecht am 8. Januar 2013 Einsprache erhoben und gleichzeitig ein Erlassgesuch gestellt. Indem die Vorinstanz die Eingabe vom 8. Januar 2013 nicht als Einsprache betrachtet und vielmehr das Schreiben vom 15. Februar 2013 als verspätete Einsprache beurteilt habe, sei durch die Nichtbehandlung der korrekten Eingabe das Verbot der Rechtsverweigerung und folglich der Grundsatz des fairen Verfahrens nach Art 29 Abs. 1 BV sowie das rechtliche Gehör nach Art. 29 Abs. 2 BV bzw. Art. 42 ATSG verletzt worden. Eine rechtskräftige Rückforderungsverfügung liege nicht vor.</w:t>
      </w:r>
    </w:p>
    <w:p>
      <w:r>
        <w:rPr>
          <w:b/>
        </w:rPr>
        <w:t>E. 4.1</w:t>
      </w:r>
    </w:p>
    <w:p>
      <w:r>
        <w:t>Die Annahme einer Einsprache setzt u.a. voraus, dass der Wille zum Ausdruck gebracht wird, die erlassene Verfügung nicht zu akzeptieren (vgl. Urteil I 664/03 vom 19. November 2004 E. 2.3 mit Hinweis auf BGE 119 V 347 E. 1b S. 350; UELI KIESER, ATSG-Kommentar, 2. Aufl. 2009, N. 23 zu Art. 52).</w:t>
      </w:r>
    </w:p>
    <w:p>
      <w:r>
        <w:rPr>
          <w:b/>
        </w:rPr>
        <w:t>E. 4.2</w:t>
      </w:r>
    </w:p>
    <w:p>
      <w:r>
        <w:t>Ein solcher Anfechtungswille geht aus der Eingabe vom 8. Januar 2013, entgegen der vorinstanzlichen Auslegung, rechtsgenüglich hervor. Die darin enthaltenen Äusserungen zeigen auf, dass der Beschwerdeführer auch die Rechtmässigkeit der Rückforderungsverfügung vom 30. April 2010 infrage stellen wollte, es ihm also nicht einzig darum ging, aufgrund seiner beengten finanziellen Verhältnisse erlassweise von der Bezahlung der Rückforderung entbunden zu werden, zumal über die Rückforderung und den - gegebenenfalls spätestens 30 Tage nach Eintritt der Rechtskraft der Rückforderungsverfügung zu beantragenden - Erlass in der Regel in zwei Schritten verfügt wird ( Art. 3 und 4 ATSV ; Urteil P 62/04 vom 6. Juni 2005, E. 1.2). Indem der Versicherte ausführte, die Höhe der Ergänzungsleistungen sei jedes Jahr neu festgesetzt worden, wozu er alle notwendigen Dokumente dem zuständigen Sozialberater eingereicht und dessen Auskünften vertraut habe, wobei er davon ausgegangen sei, dass die Sozialversicherungsanstalt des Kantons St. Gallen auch Kenntnis von der erhaltenen Kapitalauszahlung der PKRück erlangt habe, focht er auch die Rechtmässigkeit der Verfügung an. Dies bekräftigte er mit der Bitte, "sämtliche eingereichten Unterlagen meinerseits sowie die jährlichen Berechnungen Ihrerseits nochmals zu prüfen, um anzuerkennen, dass ich stete alle geforderten Unterlagen erbracht hatte". Damit stellte er auch die Berechtigung der Rückforderung infrage. Hätte die Verwaltung Zweifel am Einsprachewillen des Beschwerdeführers gehabt, wäre sie sodann unter dem Aspekt des rechtlichen Gehörs und der in Art. 27 ATSG verankerten Beratungs- und Hinweispflicht gehalten gewesen, Gelegenheit zur Präzisierung seiner Anliegen zu geben, zumal bei einem während laufender Einsprachfrist gegen die Rückforderungsverfügung und mit "Einsprache" überschriebenem Schreiben eines dannzumal noch nicht anwaltlich vertretenen Versicherten nicht leichthin von einem bewussten Einspracheverzicht gegen die Rückforderung und einem vorzeitigen Erlassgesuch ausgegangen werden kann. Die gegenteilige Ansicht des kantonalen Gerichts ist überspitzt formalistisch (vgl. BGE 135 I 6 E. 2.1 S. 9). Wenn die Vorinstanz die Eingabe vom 8. Januar 2013 nicht auch als Einsprache, sondern einzig als Erlassgesuch qualifiziert hat, ist dies nach dem Gesagten bundesrechtswidrig. Somit ist die Rückforderungsverfügung noch nicht rechtskräftig. Das kantonale Gericht wird sich mit der Frage der Rückforderung materiell zu befassen und die Rechtmässigkeit des Einspracheentscheids vom 28. Oktober 2013 auf der Grundlage der am 8. Januar 2013 erfolgten Einsprache gegen die Rückforderungsverfügung vom 13. Dezember 2012 nochmals zu beurteilen haben. Die Gesichtspunkte, welche nur die Erlassvoraussetzungen betreffen, sind damit m Rahmen dieses Verfahrens nicht relevant. Die Beschwerde ist begründet.</w:t>
      </w:r>
    </w:p>
    <w:p>
      <w:r>
        <w:rPr>
          <w:b/>
        </w:rPr>
        <w:t>E. 5</w:t>
      </w:r>
    </w:p>
    <w:p>
      <w:r>
        <w:t>Das Verfahren ist kostenpflichtig. Als unterliegende Partei hätte grundsätzlich die Beschwerdegegnerin die Gerichtskosten zu tragen ( Art. 66 Abs. 1 BGG ; BGE 133 V 642 ) und dem anwaltlich vertretenen Beschwerdeführer eine Parteientschädigung zu entrichten ( Art. 68 Abs. 1 BGG ). Unnötige Kosten hat indessen zu bezahlen, wer sie verursacht ( Art. 66 Abs. 3 und Art. 68 Abs. 4 BGG ). Dies gestattet auch, ausnahmsweise die Gerichts- und Parteikosten der Vorinstanz resp. dem Gemeinwesen, dem diese angehört, aufzuerlegen. Da die Beschwerdegegnerin prozessual richtig vorgegangen ist, die Rückweisung der Sache vielmehr Folge der überspitzt formalistischen Sichtweise der Vorinstanz ist, rechtfertigt es sich, letzterer diese Kosten als Kostenverursacherin resp. dem Kanton St. Gallen aufzuerlegen (vgl. Anwaltsrevue 2009 8 S. 393, 9C_251/2009 E. 2.1; Urteil 9C_251/2009 vom 15. Mai 2009 E. 2.1; SVR 2010 AlV Nr. 6 S. 15, 8C_830/2009). Das Gesuch des Beschwerdeführers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