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8C_821/2015 vom 18. November 2015</w:t>
      </w:r>
    </w:p>
    <w:p>
      <w:r>
        <w:t>Bundesgericht, 2015-11-18, DE</w:t>
      </w:r>
    </w:p>
    <w:p>
      <w:r>
        <w:rPr>
          <w:b/>
        </w:rPr>
        <w:t xml:space="preserve">Quelle: </w:t>
      </w:r>
      <w:r>
        <w:t>https://mcp.opencaselaw.ch/entscheid/bger_8C_821_2015</w:t>
      </w:r>
    </w:p>
    <w:p>
      <w:r>
        <w:t>FR: TF 8C_821/2015 du 18 novembre 2015</w:t>
      </w:r>
    </w:p>
    <w:p>
      <w:r>
        <w:t>IT: TF 8C_821/2015 del 18 novembre 2015</w:t>
      </w:r>
    </w:p>
    <w:p>
      <w:pPr>
        <w:pStyle w:val="Heading2"/>
      </w:pPr>
      <w:r>
        <w:t>Volltext</w:t>
      </w:r>
    </w:p>
    <w:p>
      <w:r>
        <w:t>Bundesgericht</w:t>
      </w:r>
    </w:p>
    <w:p>
      <w:r>
        <w:t>Tribunal fédéral</w:t>
      </w:r>
    </w:p>
    <w:p>
      <w:r>
        <w:t>Tribunale federale</w:t>
      </w:r>
    </w:p>
    <w:p>
      <w:r>
        <w:t>Tribunal federal</w:t>
      </w:r>
    </w:p>
    <w:p>
      <w:r>
        <w:t>8C_821/2015 {T 0/2}</w:t>
      </w:r>
    </w:p>
    <w:p>
      <w:r>
        <w:t>Urteil vom 18. November 2015</w:t>
      </w:r>
    </w:p>
    <w:p>
      <w:r>
        <w:t>I. sozialrechtliche Abteilung</w:t>
      </w:r>
    </w:p>
    <w:p>
      <w:r>
        <w:t>Besetzung</w:t>
      </w:r>
    </w:p>
    <w:p>
      <w:r>
        <w:t>Bundesrichterin Leuzinger, Präsidentin,</w:t>
      </w:r>
    </w:p>
    <w:p>
      <w:r>
        <w:t>Gerichtsschreiber Grünvogel.</w:t>
      </w:r>
    </w:p>
    <w:p>
      <w:r>
        <w:t>Verfahrensbeteiligte</w:t>
      </w:r>
    </w:p>
    <w:p>
      <w:r>
        <w:t>A.________, vertreten durch</w:t>
      </w:r>
    </w:p>
    <w:p>
      <w:r>
        <w:t>Enver Durmishi,</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den Entscheid des Bundesverwaltungsgerichts vom 23. September 2015.</w:t>
      </w:r>
    </w:p>
    <w:p>
      <w:r>
        <w:t>Nach Einsicht</w:t>
      </w:r>
    </w:p>
    <w:p>
      <w:r>
        <w:t>in die Beschwerde vom 24. Oktober 2015 (Poststempel) gegen den Entscheid des Bundesverwaltungsgerichts vom 23. September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einem Entscheid, der sich auf mehrere selbstständige Begründungen stützt, die je für sich für den Ausgang des Rechtsstreits entscheidend sind, sämtliche Begründungen ausreichend substanziiert angefochten werden müssen ( BGE 138 III 728 E. 3.4 S. 734 f.; 133 IV 119 E. 6.3 S. 120 f. ; 132 I 13 E. 3 S. 16 f.),</w:t>
      </w:r>
    </w:p>
    <w:p>
      <w:r>
        <w:t>dass die Vorinstanz in Auseinandersetzung mit den Parteivorbringen und Auslegung des für kosovarische Staatsangehörige bis Ende März 2010 anwendbaren Übereinkommens zwischen der Föderativen Volksrepublik Jugoslawien und der Schweiz näher dargelegt hat, weshalb ein sich allfällig seit Ende März 2010 verschlechternder Gesundheitszustand nicht zu einer Erhöhung der bisher ausgerichteten, nach Kosovo exportierten halben Invalidenrente führen kann,</w:t>
      </w:r>
    </w:p>
    <w:p>
      <w:r>
        <w:t>dass das Bundesverwaltungsgericht im Sinne einer Zusatzbegründung erwog, abgesehen davon habe der Beschwerdeführer die für eine Anhandnahme eines Revisionsgesuchs generell vorausgesetzte Glaubhaftmachung sich erheblich und dauerhaft geänderter tatsächlicher Verhältnisse nicht erbracht, weshalb auch aus diesem Grund die Verwaltung an der Weiterausrichtung der halben Invalidenrente festhalten durfte,</w:t>
      </w:r>
    </w:p>
    <w:p>
      <w:r>
        <w:t>dass der Beschwerdeführer auf diese zweite Begründung nicht näher eingeht,</w:t>
      </w:r>
    </w:p>
    <w:p>
      <w:r>
        <w:t>dass er überdies lediglich das bereits vor Vorinstanz Vorgetragene wiederholt, ohne sich indessen mit den dazu ergangenen Erwägungen substanziell auseinander zu setzen, geschweige denn aufzuzeigen, inwiefern diese oder der Entscheid im Ergebnis gegen Recht verstossen sollen,</w:t>
      </w:r>
    </w:p>
    <w:p>
      <w:r>
        <w:t>dass deshalb im vereinfachten Verfahren nach Art. 108 Abs. 1 lit. b BGG auf die Beschwerde nicht einzutreten ist und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18. November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