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8C_821/2014 vom 16. Dezember 2014</w:t>
      </w:r>
    </w:p>
    <w:p>
      <w:r>
        <w:t>Bundesgericht, 2014-12-16, DE</w:t>
      </w:r>
    </w:p>
    <w:p>
      <w:r>
        <w:rPr>
          <w:b/>
        </w:rPr>
        <w:t xml:space="preserve">Quelle: </w:t>
      </w:r>
      <w:r>
        <w:t>https://mcp.opencaselaw.ch/entscheid/bger_8C_821_2014</w:t>
      </w:r>
    </w:p>
    <w:p>
      <w:r>
        <w:t>FR: TF 8C_821/2014 du 16 décembre 2014</w:t>
      </w:r>
    </w:p>
    <w:p>
      <w:r>
        <w:t>IT: TF 8C_821/2014 del 16 dicembre 2014</w:t>
      </w:r>
    </w:p>
    <w:p>
      <w:pPr>
        <w:pStyle w:val="Heading2"/>
      </w:pPr>
      <w:r>
        <w:t>Erwägungen</w:t>
      </w:r>
    </w:p>
    <w:p>
      <w:r>
        <w:rPr>
          <w:b/>
        </w:rPr>
        <w:t>E. 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2</w:t>
      </w:r>
    </w:p>
    <w:p>
      <w:r>
        <w:t>Das kantonale Gericht stützte sich auf seinen rechtskräftigen Entscheid vom 13. März 2014 im invalidenversicherungsrechtlichen Verfahren. Es verwies insbesondere auf seine dortigen Ausführungen zur Zulässigkeit der erfolgten Personenüberwachung (an insgesamt zehn Tagen im Zeitraum vom 15. Februar bis zum 13. August 2011 sowie vom 3. bis zum 13. Juli 2012) und stellte fest, dass deren Ergebnisse auch hier verwertbar seien. Die dazu ergangene ärztliche Einschätzung der Frau Dr. med. B.________ vom 10. Oktober 2012 hat das Gericht nach eingehenden Erwägungen als voll beweiskräftig erachtet.</w:t>
      </w:r>
    </w:p>
    <w:p>
      <w:r>
        <w:t>Die Beschwerdeführerin beruft sich auf das Gutachten des Dr. med. C.________, Chirurgie FMH, speziell Handchirurgie, vom 31. Juli 2010, welches sie selber in Auftrag gegeben hatte, sowie die Berichte ihrer behandelnden Ärzte. Darauf war nach den Erwägungen des kantonalen Gerichts jedoch nicht abzustellen. Die subjektiven Angaben der Beschwerdeführerin gegenüber ihren Ärzten sowie dem Gutachter und deren Einschätzungen der Arbeitsfähigkeit seien widerlegt worden durch die detaillierten Ausführungen der Frau Dr. med. B.________. Auch die Ärzte, welche die Beschwerdeführerin später behandelten, hätten davon keine Kenntnis gehabt. Die Beschwerdeführerin äussert sich nicht zu diesen entscheidwesentlichen Feststellungen des kantonalen Gerichts.</w:t>
      </w:r>
    </w:p>
    <w:p>
      <w:r>
        <w:t>Dass es sich bei der Einschätzung der Frau Dr. med. B.________ um ein Aktengutachten handelt, spricht allein nicht grundsätzlich gegen ihren Beweiswert (SZS 2008 S. 393, I 1094/06 E. 3.1.1 in fine; Urteil         U 260/04 vom 12. Oktober 2005 E. 5b mit Hinweis auf Urteil 10/87 vom 29. April 1988 E. 5b, nicht publ. in: BGE 114 V 109 , aber in: RKUV 1988 Nr. U 56 S. 366). Der nach dem vorinstanzlichen Entscheid verfasste Arztbericht des Dr. med. D.________ vom 29. September 2014 bleibt als neues Beweismittel (echtes Novum) im letztinstanzlichen Verfahren unbeachtlich ( Art. 99 Abs. 1 BGG ; BGE 133 IV 342 E. 2.1 S. 343 f.; Urteil 5A_115/2012 vom 20. April 2012   E. 4.2.2). Die Ausführungen der Beschwerdeführerin zu ihrer eigenen Deutung der Observationsmaterialien vermögen die Einschätzung der Frau Dr. med. B.________ nicht zu entkräften.</w:t>
      </w:r>
    </w:p>
    <w:p>
      <w:r>
        <w:rPr>
          <w:b/>
        </w:rPr>
        <w:t>E. 3</w:t>
      </w:r>
    </w:p>
    <w:p>
      <w:r>
        <w:t>Die Schlechterstellung der Beschwerdeführerin (reformatio in peius) durch rückwirkende Leistungseinstellung auf den 20. Januar 2010 statt auf den 31. Juli 2012 mit dem Einspracheentscheid vom 19. Mai 2014 war zulässig, nachdem ihr die Beschwerdegegnerin die Gelegenheit gewährt hatte, ihre Einsprache zurückzuziehen ( Art. 12 ATSV ; BGE 131 V 414 E. 1 S. 416).</w:t>
      </w:r>
    </w:p>
    <w:p>
      <w:r>
        <w:rPr>
          <w:b/>
        </w:rPr>
        <w:t>E. 4</w:t>
      </w:r>
    </w:p>
    <w:p>
      <w:r>
        <w:t>Der Antrag auf eine Integritätsentschädigung wird nicht weiter begründet. Es ist darauf deshalb nicht einzugehen.</w:t>
      </w:r>
    </w:p>
    <w:p>
      <w:r>
        <w:rPr>
          <w:b/>
        </w:rPr>
        <w:t>E. 5</w:t>
      </w:r>
    </w:p>
    <w:p>
      <w:r>
        <w:t>Das Verfahren ist kostenpflichtig ( Art. 65 BGG ). Die Gerichtskosten werden der unterliegenden Beschwerdeführerin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