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8C_820/2019 vom 29. April 2020</w:t>
      </w:r>
    </w:p>
    <w:p>
      <w:r>
        <w:t>Bundesgericht, 2020-04-29, DE</w:t>
      </w:r>
    </w:p>
    <w:p>
      <w:r>
        <w:rPr>
          <w:b/>
        </w:rPr>
        <w:t xml:space="preserve">Quelle: </w:t>
      </w:r>
      <w:r>
        <w:t>https://mcp.opencaselaw.ch/entscheid/bger_8C_820_2019</w:t>
      </w:r>
    </w:p>
    <w:p>
      <w:r>
        <w:t>FR: TF 8C_820/2019 du 29 avril 2020</w:t>
      </w:r>
    </w:p>
    <w:p>
      <w:r>
        <w:t>IT: TF 8C_820/2019 del 29 aprile 2020</w:t>
      </w:r>
    </w:p>
    <w:p>
      <w:pPr>
        <w:pStyle w:val="Heading2"/>
      </w:pPr>
      <w:r>
        <w:t>Erwägungen</w:t>
      </w:r>
    </w:p>
    <w:p>
      <w:r>
        <w:rPr>
          <w:b/>
        </w:rPr>
        <w:t>E. 1.1</w:t>
      </w:r>
    </w:p>
    <w:p>
      <w:r>
        <w:t>Die Voraussetzungen der Beschwerde in öffentlich-rechtlichen Angelegenheiten sind grundsätzlich gegeben (Art. 82 lit. a, Art. 83 e contrario, Art. 86 Abs. 1 lit. d und Abs. 2, Art. 89 Abs. 1, Art. 90 und Art. 100 Abs. 1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 hat, als sie einen Anspruch des Versicherten auf eine Insolvenzentschädigung bejahte.</w:t>
      </w:r>
    </w:p>
    <w:p>
      <w:r>
        <w:rPr>
          <w:b/>
        </w:rPr>
        <w:t>E. 3.1</w:t>
      </w:r>
    </w:p>
    <w:p>
      <w:r>
        <w:t>Beitragspflichtige Arbeitnehmer von Arbeitgebern, die in der Schweiz der Zwangsvollstreckung unterliegen oder in der Schweiz Arbeitnehmer beschäftigen, haben nach Art. 51 Abs. 1 lit. a AVIG Anspruch auf Insolvenzentschädigung, wenn gegen ihren Arbeitgeber der Konkurs eröffnet wird und ihnen in diesem Zeitpunkt Lohnforderungen zustehen. Die Insolvenzentschädigung ist eine Lohnausfallversicherung bei Zahlungsunfähigkeit des Arbeitgebers. Sie bezweckt für eine beschränkte Zeit den Schutz der Lohnguthaben sowie die Sicherung des Lebensunterhaltes des Arbeitnehmers und damit die Vermeidung sozialer Härten.</w:t>
      </w:r>
    </w:p>
    <w:p>
      <w:r>
        <w:rPr>
          <w:b/>
        </w:rPr>
        <w:t>E. 3.2</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 S. 221 f. mit diversen Hinweisen).</w:t>
      </w:r>
    </w:p>
    <w:p>
      <w:r>
        <w:rPr>
          <w:b/>
        </w:rPr>
        <w:t>E. 3.3</w:t>
      </w:r>
    </w:p>
    <w:p>
      <w:r>
        <w:t>Die Kasse darf gemäss Art. 74 AVIV eine Insolvenzentschädigung nur ausrichten, wenn der Arbeitnehmer seine Lohnforderung glaubhaft macht. Mit dieser Bestimmung werden die Beweisanforderungen bezüglich der Lohnforderung herabgesetzt. Es braucht nicht im Sinne des Regelbeweismasses die Überzeugung der Verwaltung begründet zu werden, dass die Lohnforderung überwiegend wahrscheinlich besteht. Vielmehr genügt es, dass für den geltend gemachten rechtserheblichen Sachumstand wenigstens gewisse Anhaltspunkte vorhanden sind, auch wenn durchaus noch mit der Möglichkeit zu rechnen ist, bei eingehender Abklärung werde sich der behauptete Sachverhalt nicht erstellen lassen. Diese herabgesetzten Beweisanforderungen gelten jedoch nur für die Frage, ob und in welcher Höhe gegenüber dem insolventen Arbeitgeber eine Lohnforderung besteht, an deren Stelle die Insolvenzentschädigung treten soll. Die übrigen Anspruchsvoraussetzungen, wie namentlich der Bestand eines Arbeitsverhältnisses mit Beschäftigung in der Schweiz oder der Eintritt eines Insolvenztatbestandes müssen demgegenüber mit dem üblichen Beweisgrad der überwiegenden Wahrscheinlichkeit erstellt sein ( BGE 144 V 427 E. 3.3 S. 430).</w:t>
      </w:r>
    </w:p>
    <w:p>
      <w:r>
        <w:rPr>
          <w:b/>
        </w:rPr>
        <w:t>E. 4.1</w:t>
      </w:r>
    </w:p>
    <w:p>
      <w:r>
        <w:t>Das kantonale Gericht hat gestützt auf die Zeugeneinvernahme des B.________ und des C.________ für das Bundesgericht grundsätzlich verbindlich festgestellt, dass der Versicherte aufgrund eines mündlichen Vertrages für die zwischenzeitlich konkursite Gesellschaft gearbeitet hat. Was die Beschwerdeführerin hiegegen vorbringt, vermag diese Feststellung nicht als bundesrechtswidrig erscheinen zu lassen. Insbesondere ist darauf hinzuweisen, dass ein willkürlicher Entscheid nicht bereits dann vorliegt,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135 V 2 E. 1.3 S. 4 f.). Solches ist vorliegend nicht ersichtlich, zumal der eine Zeuge die bei den Akten liegende Kopie des Baustellenausweises des Versicherten wiedererkannt hat.</w:t>
      </w:r>
    </w:p>
    <w:p>
      <w:r>
        <w:rPr>
          <w:b/>
        </w:rPr>
        <w:t>E. 4.2</w:t>
      </w:r>
    </w:p>
    <w:p>
      <w:r>
        <w:t>Weiter hat die Vorinstanz die vom Versicherten geltend gemachte Lohnforderung basierend auf einer Aufstellung über 236.5 Arbeitsstunden als glaubhaft gemacht beurteilt. Auch diesbezüglich ist keine Bundesrechtswidrigkeit ersichtlich: Da es gemäss den Aussagen der Zeugen bei der konkursiten Gesellschaft üblich war, dass die Stunden von den Arbeitnehmern formlos notiert und geltend gemacht wurden, erscheint der Schluss des kantonalen Gerichts, die Stunden seien rechtsgenüglich glaubhaft gemacht worden (vgl. E. 3.3 hievor), nicht als bundesrechtswidrig.</w:t>
      </w:r>
    </w:p>
    <w:p>
      <w:r>
        <w:rPr>
          <w:b/>
        </w:rPr>
        <w:t>E. 4.3</w:t>
      </w:r>
    </w:p>
    <w:p>
      <w:r>
        <w:t>Das kantonale Gericht hat weiter erwogen, der Versicherte sei seiner Schadenminderungspflicht genügend nachgekommen.</w:t>
      </w:r>
    </w:p>
    <w:p>
      <w:r>
        <w:rPr>
          <w:b/>
        </w:rPr>
        <w:t>E. 4.3.1</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C 183/97). Auch eine ursprüngliche Leistungsverweigerung infolge Verletzung der Schadenminderungspflicht im Sinne der zu Art. 55 Abs. 1 AVIG ergangenen Rechtsprechung setzt voraus, dass dem Versicherten ein schweres Verschulden, also vorsätzliches oder grobfahrlässiges Handeln oder Unterlassen vorgeworfen werden kann.</w:t>
      </w:r>
    </w:p>
    <w:p>
      <w:r>
        <w:t>Das Ausmass der vorausgesetzten Schadenminderungspflicht richtet sich nach den jeweiligen Umständen des Einzelfalls. Vom Arbeitnehmer wird zwar in der Regel nicht verlangt, dass er bereits während des bestehenden Arbeitsverhältnisses gegen den Arbeitgeber Betreibung einleitet oder eine Klage einreicht. Er hat jedoch seine Lohnforderung gegenüber dem Arbeitgeber in eindeutiger und unmissverständlicher Weise geltend zu machen (ARV 2002 S. 190, C 367/01). Zu weitergehenden Schritten ist die versicherte Person dann gehalten, wenn es sich um erhebliche Lohnausstände handelt und sie konkret mit einem Lohnverlust rechnen muss. Denn es geht auch für die Zeit vor der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(vgl. Urteil 8C_79/2019 vom 21. Mai 2019 E. 3.2; 8C_713/2011 vom 15. März 2012 E. 4.2.1; 8C_66/2011 vom 29. August 2011 E. 2.2 mit Hinweisen; SVR 2012 ALV Nr. 2 S. 3, 8C_916/2010 E. 2 und 3.2.1; ARV 2007 Nr. 1 S. 49, C 231/06 E. 2.2). Insgesamt sollen sich Arbeitnehmende gegenüber dem Arbeitgeber so verhalten, als ob es das Institut der Insolvenzentschädigung nicht gäbe. Dieses Erfordernis lässt ein längeres Untätigsein nicht zu (SVR 2014 AlV Nr. 4 S. 9, 8C_66/2013 E. 4.2).</w:t>
      </w:r>
    </w:p>
    <w:p>
      <w:r>
        <w:rPr>
          <w:b/>
        </w:rPr>
        <w:t>E. 4.3.2</w:t>
      </w:r>
    </w:p>
    <w:p>
      <w:r>
        <w:t>Gemäss den verbindlichen vorinstanzlichen Sachverhaltsfeststellungen versuchte der Versicherte ab dem 21. April 2014 mehrmals vergeblich, den Geschäftsführer seiner Arbeitgeberin, B.________, telefonisch zu erreichen, um seine Lohnansprüche geltend zu machen. Danach forderte er - mit gewerkschaftlicher Unterstützung - seine Arbeitgeberin mit Schreiben vom 26. Juni 2014 schriftlich auf, die Lohnausstände zu begleichen, andernfalls er gerichtliche Schritte einleiten werde. Nachdem eine Reaktion seitens der Arbeitgeberin ausgeblieben war, hob er am 3. Oktober 2014 einen arbeitsrechtlichen Prozess betreffend Lohnforderung an, welcher schliesslich infolge Gegenstandslosigkeit (Einstellung des Konkursverfahrens mangels Aktiven) als erledigt abgeschrieben wurde.</w:t>
      </w:r>
    </w:p>
    <w:p>
      <w:r>
        <w:rPr>
          <w:b/>
        </w:rPr>
        <w:t>E. 4.3.3</w:t>
      </w:r>
    </w:p>
    <w:p>
      <w:r>
        <w:t>In der Tat liess der Versicherte zwischen dem Schreiben vom 26. Juni 2014 und dem Einleiten des arbeitsrechtlichen Prozesses am 3. Oktober 2014 einen relativ langen Zeitraum verstreichen, in dem er keine Anstalten traf, seine Lohnforderung einzutreiben. Allerdings ist zu seinen Gunsten zu berücksichtigen, dass er offenbar weder Kenntnis der finanziellen Verhältnisse seiner Arbeitgeberin noch der Verhaftung des B.________ hatte und damit nicht unmittelbar mit einer Zahlungsunfähigkeit seiner Arbeitgeberin rechnen musste. Es fehlen auch jegliche Hinweise dafür, dass er auf eine beförderlichere Geltendmachung seiner Ansprüche verzichtete, weil er sich durch das Institut der Insolvenzentschädigung als hinreichend abgedeckt gefühlt hätte. Das kantonale Gericht hat demnach kein Bundesrecht verletzt, als es dem Versicherten keine Verletzung der Schadenminderungspflicht zur Last legte; die Beschwerde der Arbeitslosenkasse ist abzuweisen.</w:t>
      </w:r>
    </w:p>
    <w:p>
      <w:r>
        <w:rPr>
          <w:b/>
        </w:rPr>
        <w:t>E. 5</w:t>
      </w:r>
    </w:p>
    <w:p>
      <w:r>
        <w:t>Dem Prozessausgang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