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8C_820/2017 vom 29. Dezember 2017</w:t>
      </w:r>
    </w:p>
    <w:p>
      <w:r>
        <w:t>Bundesgericht, 2017-12-29, IT</w:t>
      </w:r>
    </w:p>
    <w:p>
      <w:r>
        <w:rPr>
          <w:b/>
        </w:rPr>
        <w:t xml:space="preserve">Quelle: </w:t>
      </w:r>
      <w:r>
        <w:t>https://mcp.opencaselaw.ch/entscheid/bger_8C_820_2017</w:t>
      </w:r>
    </w:p>
    <w:p>
      <w:r>
        <w:t>FR: TF 8C_820/2017 du 29 décembre 2017</w:t>
      </w:r>
    </w:p>
    <w:p>
      <w:r>
        <w:t>IT: TF 8C_820/2017 del 29 dicembre 2017</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Il Tribunale cantonale delle assicurazioni, dopo aver esposto le disposizioni legali ritenute applicabili, si è chinato diffusamente sul periodo minimo di contribuzione in materia di disoccupazione, riferendosi anche alla Prassi LADI. In seguito, la Corte cantonale ha precisato i criteri per calcolare il guadagno assicurato. I giudici ticinesi hanno osservato che la ricorrente non ha adempiuto il periodo minimo di contribuzione. Ammesso e non concesso che la ricorrente disponesse di un guadagno assicurato, quest'ultimo non era ad ogni modo determinabile in modo sufficientemente attendibile. A sostegno della sua conclusione, la Corte cantonale ha ripercorso cronologicamente tutta la situazione professionale della ricorrente, in modo particolare il verbale di audizione dell'assicurata. Il Tribunale cantonale delle assicurazioni ha accertato che la ricorrente, dal momento che nel maggio 2015 aveva terminato le indennità di disoccupazione, ha ricominciato un'attività lavorativa come dipendente in società personalmente collegate con i suoi ex datori di lavoro, due società avendo peraltro sede in un monolocale nei pressi di Mendrisio. Ai giudici ticinesi ha colpito inoltre l'ammontare del salario mensile, il quale negli ultimi sei mesi, periodo determinante per il salario assicurato, era superiore ai fr. 10'000.-, mentre in precedenza era di molto inferiore. La Corte di merito ha considerato non credibile tale salario, che al dire della ricorrente sarebbe stato versato in contanti e usato per far fronte alle spese mensili. Nemmeno il percorso professionale non ha convinto i giudici ticinesi, non avendo seguito alcuna formazione da rappresentante a promotrice immobiliare. La ricorrente secondo la Corte cantonale oltretutto non ha debitamente motivato le sue mansioni lavorative e non ha fornito nessuna prova relativa al lavoro svolto. Infine, neanche ha saputo indicare se vi fossero altri impiegati presso le ditte in questione. Per terminare, i giudici ticinesi hanno precisato che i conteggi individuali dei contributi AVS rimangono indizi, ma non la prova di un effettivo pagamento.</w:t>
      </w:r>
    </w:p>
    <w:p>
      <w:r>
        <w:rPr>
          <w:b/>
        </w:rPr>
        <w:t>E. 3.1</w:t>
      </w:r>
    </w:p>
    <w:p>
      <w:r>
        <w:t>La ricorrente, il cui atto di ricorso non indica alcuna norma di legge, critica l'accertamento dei fatti operato dalla Corte cantonale sotto diversi aspetti. Tuttavia, il Tribunale federale non rivede i fatti stabiliti dalla Corte cantonale, se non in maniera molto limitata (consid. 1). Nell'ambito dell'accertamento dei fatti, dinanzi al Tribunale federale non basta criticare liberamente la decisione precedente come se ci si trovasse in grado di appello, opponendo semplicemente la propria tesi a quella dell'autorità inferiore, bensì occorre spiegare almeno succintamente, ma puntualmente, perché gli accertamenti dei primi giudici sono manifestamente errati, per giungere a dimostrare che la decisione impugnata è insostenibile nel suo risultato ( DTF 137 I 1 consid. 2.4 pag. 5). In concreto, la ricorrente si limita a contestare gli accertamenti dei giudici cantonali con ipotesi e deduzioni, o facendo singole estrapolazioni, senza tuttavia dimostrare perché gli accertamenti del Tribunale delle assicurazioni siano manifestamente inesatti o contrari al diritto federale.</w:t>
      </w:r>
    </w:p>
    <w:p>
      <w:r>
        <w:rPr>
          <w:b/>
        </w:rPr>
        <w:t>E. 3.2</w:t>
      </w:r>
    </w:p>
    <w:p>
      <w:r>
        <w:t>Contrariamente alle tesi sostenute nel ricorso, il Tribunale cantonale delle assicurazioni ha reso il proprio giudizio, ricordando in maniera precisa tutte le circostanze al fascicolo relative al caso concreto. La Corte cantonale ha già detto che l'avvenuto pagamento degli oneri sociali non prova il versamento del salario. A ciò si aggiunga, secondo gli accertamenti dei giudici ticinesi, che soltanto nei sei mesi precedenti l'inizio della disoccupazione la ricorrente avrebbe beneficiato di un forte aumento di stipendio, senza peraltro dimostrare in maniera convincente, ove avesse usato il denaro versato asseritamente in contanti. È peraltro inconferente la circostanza che la ricorrente non sia mai stata oggetto di procedimenti penali. La Corte cantonale non ha rinfacciato alla ricorrente comportamenti penalmente punibili e il giudizio (consid. 2) non trova fondamento su di un agire illecito. Per quanto attiene all'audizione davanti all'amministrazione, la ricorrente pare misconoscere che tale pratica non è un'esclusiva delle autorità inquirenti, ma deriva da un lato dal diritto dell'interessato a partecipare alla procedura e da un altro lato dall'interesse dell'autorità decidente di chiarire i fatti, sentendo personalmente l'assicurato. Infatti, anche i giudici civili sono soliti procedere ad interrogatori di parti o di testimoni. Le poche critiche invero generiche della ricorrente cadono nel vuoto. Il giudizio impugnato non è pertanto lesivo del diritto federale.</w:t>
      </w:r>
    </w:p>
    <w:p>
      <w:r>
        <w:rPr>
          <w:b/>
        </w:rPr>
        <w:t>E. 4</w:t>
      </w:r>
    </w:p>
    <w:p>
      <w:r>
        <w:t>Ne segue che il ricorso, manifestamente infondato, deve essere respinto secondo la procedura semplificata dell' art. 109 cpv. 2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