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81/2016 vom 8. April 2016</w:t>
      </w:r>
    </w:p>
    <w:p>
      <w:r>
        <w:t>Bundesgericht, 2016-04-08, DE</w:t>
      </w:r>
    </w:p>
    <w:p>
      <w:r>
        <w:rPr>
          <w:b/>
        </w:rPr>
        <w:t xml:space="preserve">Quelle: </w:t>
      </w:r>
      <w:r>
        <w:t>https://mcp.opencaselaw.ch/entscheid/bger_8C_81_2016</w:t>
      </w:r>
    </w:p>
    <w:p>
      <w:r>
        <w:t>FR: TF 8C 81/2016 du 8 avril 2016</w:t>
      </w:r>
    </w:p>
    <w:p>
      <w:r>
        <w:t>IT: TF 8C 81/2016 del 8 aprile 2016</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der vom Versicherten neu eingereichte Bericht des Dr. med. C.________ vom 21. Januar 2015 ausnahmsweise zulässig wäre, sind vorliegend nicht erfüllt, so dass dieser unbeachtet bleiben muss. Aus demselben Grund könnte auch ein durch die Invalidenversicherung im Jahr 2016 veranlasstes Gutachten nicht mehr beachtet werden; entsprechend ist das Sistierungsgesuch des Versicherten abzuweisen.</w:t>
      </w:r>
    </w:p>
    <w:p>
      <w:r>
        <w:rPr>
          <w:b/>
        </w:rPr>
        <w:t>E. 2</w:t>
      </w:r>
    </w:p>
    <w:p>
      <w:r>
        <w:t>Streitig und zu prüfen ist, ob die SUVA zu Recht ihre Leistungen per 31. März 2014 eingestellt hat.</w:t>
      </w:r>
    </w:p>
    <w:p>
      <w:r>
        <w:rPr>
          <w:b/>
        </w:rPr>
        <w:t>E. 3</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(vgl. BGE 129 V 177 E. 3.1 und 3.2 S. 181), insbesondere bei psychischen Unfallfolgeschäden ( BGE 115 V 133 ), zutreffend dargelegt. Darauf wird verwiesen.</w:t>
      </w:r>
    </w:p>
    <w:p>
      <w:r>
        <w:rPr>
          <w:b/>
        </w:rPr>
        <w:t>E. 4.1</w:t>
      </w:r>
    </w:p>
    <w:p>
      <w:r>
        <w:t>Die Vorinstanz hat in sorgfältiger und umfassender Würdigung der medizinischen Akten festgestellt, dass sich die über den 31. März 2014 hinaus anhaltend geklagten Beschwerden nicht mehr durch den unstreitig vorhanden gewesenen, im Sinne der Rechtsprechung organisch hinreichend nachgewiesenen (vgl. BGE 138 V 248 E. 5.1 S. 251; Urteil 8C_806/2007 vom 7. August 2008 E. 8.2), Gesundheitsschaden erklären lassen. Was der Beschwerdeführer gegen diese Feststellung vorbringt, gibt keinen Anlass für eine von derjenigen des kantonalen Gerichts abweichenden Sichtweise. Insbesondere vermag er nicht aufzuzeigen, dass die geklagten Beschwerden ärztlicherseits auf den organischen Gesundheitsschaden zurückgeführt werden. Zutreffend ist zudem auch die Erwägung des kantonalen Gerichts, die Neuropsychologie vermöge die Beurteilung der Kausalität eines organisch hinreichend nachgewiesenen Gesundheitsschadens nicht selbst und abschliessend vorzunehmen (vgl. hiezu bereits BGE 117 V 369 E. 3f S. 380 ff.).</w:t>
      </w:r>
    </w:p>
    <w:p>
      <w:r>
        <w:rPr>
          <w:b/>
        </w:rPr>
        <w:t>E. 4.2</w:t>
      </w:r>
    </w:p>
    <w:p>
      <w:r>
        <w:t>Vorinstanz und Verwaltung qualifizierten das Ereignis vom 18. Oktober 2012 als einen im engeren Sinn mittelschweren Unfall. Entgegen den Vorbringen des Versicherten erscheint diese Qualfikation mit Blick auf ähnliche Fälle (vgl. etwa die Urteile 8C_108/2015 vom 4. August 2015 E. 4.4.1 und 8C_358/2014 vom 14. August 2014 E. 2.4.2) als gerechtfertigt. Die Adäquanz eines natürlichen Kausalzusammenhanges wäre somit dann zu bejahen, wenn eines der massgeblichen Adäquanzkriterien in besonders ausgeprägter, oder mehrere dieser Kriterien in gehäufter Weise erfüllt wären.</w:t>
      </w:r>
    </w:p>
    <w:p>
      <w:r>
        <w:rPr>
          <w:b/>
        </w:rPr>
        <w:t>E. 4.3</w:t>
      </w:r>
    </w:p>
    <w:p>
      <w:r>
        <w:t>Das kantonale Gericht verneinte sämtliche Adäquanzkritierien. Selbst wenn man dem Beschwerdeführer folgend das Kriterium der Schwere und der besonderen Art der erlittenen Verletzungen in seiner einfachen Form bejahen würde, wären nicht mehrere Adäquanzkriterien in gehäufter Weise erfüllt. Somit haben Vorinstanz und Verwaltung zu Recht einen adäquaten Kausalzusammenhang zwischen dem Ereignis vom 18. Oktober 2012 und den über den 31. März 2014 hinaus geklagten Beschwerden und damit eine Leistungspflicht der Unfallversicherung über diesen Stichtag hinaus verneint. Somit erübrigen sich auch weitere Abklärungen zur Ätiologie des geklagten Leidens (vgl. auch BGE 135 V 465 E. 5.1 S. 472). Die Beschwerde des Versicherten ist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