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8C_81/2012 vom 11. Dezember 2012</w:t>
      </w:r>
    </w:p>
    <w:p>
      <w:r>
        <w:t>Bundesgericht, 2012-12-11, DE</w:t>
      </w:r>
    </w:p>
    <w:p>
      <w:r>
        <w:rPr>
          <w:b/>
        </w:rPr>
        <w:t xml:space="preserve">Quelle: </w:t>
      </w:r>
      <w:r>
        <w:t>https://mcp.opencaselaw.ch/entscheid/bger_8C_81_2012</w:t>
      </w:r>
    </w:p>
    <w:p>
      <w:r>
        <w:t>FR: TF 8C_81/2012 du 11 décembre 2012</w:t>
      </w:r>
    </w:p>
    <w:p>
      <w:r>
        <w:t>IT: TF 8C_81/2012 del 11 dicembre 2012</w:t>
      </w:r>
    </w:p>
    <w:p>
      <w:pPr>
        <w:pStyle w:val="Heading2"/>
      </w:pPr>
      <w:r>
        <w:t>Erwägungen</w:t>
      </w:r>
    </w:p>
    <w:p>
      <w:r>
        <w:rPr>
          <w:b/>
        </w:rPr>
        <w:t>E. 1</w:t>
      </w:r>
    </w:p>
    <w:p>
      <w:r>
        <w:t>Angefochten ist ein Endentscheid einer letzten kantonalen Instanz ( Art. 86 Abs. 1 lit. d, Art. 90 BGG ). Dieser bejaht einen Anspruch der SUVA gegen die Unia auf Schadenersatz im Sinne von Art. 78 ATSG und betrifft somit eine öffentlich-rechtliche Angelegenheit im Sinn von Art. 82 lit. a BGG . Die Beschwerde ist auf dem Gebiet der Staatshaftung unter anderem zulässig, wenn der Streitwert nicht weniger als Fr. 30'000.- beträgt ( Art. 85 Abs. 1 lit. b BGG ). Dieser Betrag ist vorliegend erreicht, so dass auf die Beschwerde einzutreten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Entgegen den Ausführungen der Beschwerdeführerin richtet sich ihre Beschwerde gegen einen Entscheid über ein Schadenersatzbegehren gestützt auf eine spezielle Staatshaftungsnorm und nicht gegen einen Entscheid über die Zusprechung oder Verweigerung von Geldleistungen der Militär- oder Unfallversicherung. Daran vermag auch nichts zu ändern, dass die SUVA ihren Anspruch daraus ableitet, aufgrund eines Fehlers der Beschwerdeführerin zu Unrecht Geldleistungen nach UVG erbracht zu haben. Somit findet die spezielle Kognitionsregelung nach Art. 97 Abs. 2 und Art. 105 Abs. 3 BGG keine Anwendung.</w:t>
      </w:r>
    </w:p>
    <w:p>
      <w:r>
        <w:rPr>
          <w:b/>
        </w:rPr>
        <w:t>E. 3</w:t>
      </w:r>
    </w:p>
    <w:p>
      <w:r>
        <w:t>Für Schäden, die von Durchführungsorganen oder einzelnen Funktionären von Versicherungsträgern einer versicherten Person oder Dritten widerrechtlich zugefügt wurden, haften gemäss Art. 78 Abs. 1 ATSG die öffentlichen Körperschaften, privaten Trägerorganisationen oder Versicherungsträger, die für diese Organe verantwortlich sind. Wie die Vorinstanz zutreffend erwogen hat und im letztinstanzlichen Verfahren unbestritten geblieben ist, können Dritte im Sinne dieser Norm auch andere Sozialversicherer sein (vgl. Ueli Kieser, ATSG-Kommentar 2. Aufl. 2009, N. 11 zu Art. 78 ATSG , und BGE 137 V 76 ).</w:t>
      </w:r>
    </w:p>
    <w:p>
      <w:r>
        <w:rPr>
          <w:b/>
        </w:rPr>
        <w:t>E. 4.1</w:t>
      </w:r>
    </w:p>
    <w:p>
      <w:r>
        <w:t>Neue Tatsachen und Beweismittel dürfen im bundesgerichtlichen Verfahren in Anwendung von Art. 99 Abs. 1 BGG nur so weit vorgebracht werden, als erst der Entscheid der Vorinstanz dazu Anlass gibt. In ihrer Verfügung vom 11. März 2008 lehnte die Unia eine Haftung wegen Selbstverschulden der SUVA und wegen Verwirkung der Ansprüche ab. Letztinstanzlich beruft sich die Beschwerdeführerin demgegenüber erstmals darauf, die Taggeldzahlungen seien nicht an die vermeintlich versicherte Person, sondern an den diesen unterstützenden Sozialdienst ausbezahlt worden, weshalb eine Rückforderung nicht uneinbringlich sei. Aus welchem Grund die Beschwerdeführerin sich nicht schon früher darauf hätte berufen können, wird von ihr nicht begründet. Somit stellt diese Tatsachenbehauptung ein unzulässiges Novum dar. Dasselbe gilt für den erstmals erhobenen Einwand der Beschwerdeführerin, die Beschwerdegegnerin hätte die Heilkosten beim obligatorischen Krankenversicherer geltend machen können.</w:t>
      </w:r>
    </w:p>
    <w:p>
      <w:r>
        <w:rPr>
          <w:b/>
        </w:rPr>
        <w:t>E. 4.2</w:t>
      </w:r>
    </w:p>
    <w:p>
      <w:r>
        <w:t>Das kantonale Gericht hat in seinem ausführlich und überzeugend begründeten Entscheid erwogen, die SUVA sei bei der Deckungsprüfung ihren Verpflichtungen nachgekommen und habe erst am 4. August 2006 von der fehlenden Unfalldeckung Kenntnis erhalten. Was die Beschwerdeführerin gegen letztere Feststellung vorbringt, vermag sie nicht als offensichtlich unrichtig erscheinen zu lassen. Es kann nicht gesagt werden, die SUVA hätte bei der geforderten Aufmerksamkeit bereits früher Kenntnis vom Fehler der Beschwerdeführerin haben können: Entgegen den Vorbringen der Unia musste die SUVA auch nach Kenntnisnahme des Hinweises in den Akten, die vermeintlich versicherte Person habe sich bereits vor dem Unfall bei der Invalidenversicherung angemeldet, nicht zwingend Zweifel an der Unfalldeckung haben. Betreffend der von der Beschwerdeführerin angerufenen Unfallmeldung an die Krankenkasse vom 11. November 2004 ist festzuhalten, dass die SUVA von dieser erst am 17. Juli 2006 Kenntnis erhalten hat, so dass offenbleiben kann, ob der darin enthaltene Hinweis auf die vollständige Arbeitsunfähigkeit des vermeintlich Versicherten genügender Anlass zu einer erneuten Prüfung der Unfalldeckung gegeben hätte.</w:t>
      </w:r>
    </w:p>
    <w:p>
      <w:r>
        <w:rPr>
          <w:b/>
        </w:rPr>
        <w:t>E. 4.3</w:t>
      </w:r>
    </w:p>
    <w:p>
      <w:r>
        <w:t>Die Beschwerde der Unia ist somit abzuweisen. Da die SUVA ihrerseits gegen den vorinstanzlichen Entscheid keine Beschwerde erhoben hat, das BGG grundsätzlich keine Anschlussbeschwerde kennt und die Voraussetzungen, unter denen ausnahmsweise von diesem Grundsatz abgewichen werden könnte (vgl. BGE 138 V 106 E. 2 S. 110 f.), vorliegend nicht erfüllt sind, ist auf den Antrag der SUVA betreffend die Abänderung des vorinstanzlichen Dispositives in Bezug auf die Dauer der Zinszahlungspflicht nicht einzutreten.</w:t>
      </w:r>
    </w:p>
    <w:p>
      <w:r>
        <w:rPr>
          <w:b/>
        </w:rPr>
        <w:t>E. 5</w:t>
      </w:r>
    </w:p>
    <w:p>
      <w:r>
        <w:t>Da somit bereits aufgrund von Art. 78 Abs. 1 ATSG ein Schadenersatzanspruch der SUVA besteht, brauchen andere mögliche Haftungsgrundlagen nicht näher geprüft zu werden. Insbesondere kann offenbleiben, ob eine Arbeitslosenkasse, welche an Stelle eines Arbeitgebers eine Unfallmeldung vornimmt (vgl. dazu Boris Rubin, Assurance-chômage, 2. Aufl. 2006 S. 359), auch in der Frage der Haftung einem Arbeitgeber gleichzustellen ist und ob Art. 46 Abs. 3 UVG über seinen Wortlaut hinaus auch für eine absichtlich falsche (so Alfred Maurer, Schweizerisches Unfallversicherungsrecht, 2. Aufl. 1989, S. 242) bzw. für eine grobfahrlässig falsche Unfallmeldung gilt.</w:t>
      </w:r>
    </w:p>
    <w:p>
      <w:r>
        <w:rPr>
          <w:b/>
        </w:rPr>
        <w:t>E. 6</w:t>
      </w:r>
    </w:p>
    <w:p>
      <w:r>
        <w:t>Dem Prozessausgang entsprechend sind die Gerichtskosten der Beschwerdeführerin aufzuerlegen ( Art. 66 Abs. 1 BGG ). Entgegen den Vorbringen der SUVA obsiegt sie in ihrem amtlichen Wirkungskreis, weshalb sie keinen Anspruch auf eine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