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8C_818/2011 vom 26. Januar 2012</w:t>
      </w:r>
    </w:p>
    <w:p>
      <w:r>
        <w:t>Bundesgericht, 2012-01-26, IT</w:t>
      </w:r>
    </w:p>
    <w:p>
      <w:r>
        <w:rPr>
          <w:b/>
        </w:rPr>
        <w:t xml:space="preserve">Quelle: </w:t>
      </w:r>
      <w:r>
        <w:t>https://mcp.opencaselaw.ch/entscheid/bger_8C_818_2011</w:t>
      </w:r>
    </w:p>
    <w:p>
      <w:r>
        <w:t>FR: TF 8C_818/2011 du 26 janvier 2012</w:t>
      </w:r>
    </w:p>
    <w:p>
      <w:r>
        <w:t>IT: TF 8C_818/2011 del 26 gennaio 2012</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cfr. tuttavia l'eccezione del cpv. 2) e non è pertanto vincolato né dagli argomenti sollevati nel ricorso né dai motivi addotti dall'autorità precedente.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Nei considerandi dell'impugnata pronuncia, cui si rinvia, l'autorità giudiziaria cantonale ha già ampiamente esposto le condizioni cui è subordinato il diritto agli assegni per il periodo d'introduzione ( art. 65 e 66 LADI ; art. 90 OADI ). A tale esposizione può essere fatto riferimento e prestata adesione, non senza tuttavia soggiungere che giusta l' art. 25 cpv. 1 LPGA , le prestazioni indebitamente riscosse devono essere restituite.</w:t>
      </w:r>
    </w:p>
    <w:p>
      <w:r>
        <w:rPr>
          <w:b/>
        </w:rPr>
        <w:t>E. 3</w:t>
      </w:r>
    </w:p>
    <w:p>
      <w:r>
        <w:t>Come ricordato dal primo giudice, nella fattispecie esaminata in DTF 126 V 42 , in cui il riconoscimento degli assegni in questione era stato sottoposto alla condizione risolutiva secondo cui il rapporto di lavoro non doveva venire disdetto, al di fuori del tempo di prova e in assenza di causa grave, durante il periodo di introduzione o nei tre mesi successivi, il Tribunale federale (delle assicurazioni) ha stabilito che se questo presupposto non è realizzato, l'amministrazione può chiedere al datore di lavoro la restituzione degli assegni percepiti, a prescindere dall'adempimento dei requisiti cui è subordinata la revoca di una decisione.</w:t>
      </w:r>
    </w:p>
    <w:p>
      <w:r>
        <w:t>La presente fattispecie è analoga a quella trattata in DTF 126 V 42 . Nella decisione di assegnazione degli assegni del 13 luglio 2010 l'Ufficio delle misure attive ha infatti precisato che in caso di disdetta del contratto di lavoro senza motivi gravi ( art. 337 cpv. 2 CO ) durante il periodo di introduzione (dopo il periodo di prova) e non concordata con l'autorità cantonale, questa poteva richiedere al datore di lavoro il rimborso degli assegni versati. Ora, come giustamente rilevato dalla pronuncia cantonale, la ricorrente ha sciolto il rapporto di lavoro con C.________ prima della fine del periodo di introduzione, invocando motivi economici. La disdetta non è stata concordata con l'amministrazione. Gli argomenti addotti successivamente dalla ricorrente per giustificare il licenziamento (vacanze prolungate in Thailandia, assenza per malattia non comprovata da certificato medico), oltre a essere contestati, non figurano nella lettera di disdetta del rapporto di lavoro del 30 dicembre 2010, dove veniva anzi sottolineato non essere la rescissione del contratto avvenuta per incapacità dell'interessato, ma per sole ragioni economiche.</w:t>
      </w:r>
    </w:p>
    <w:p>
      <w:r>
        <w:t>Giusta l' art. 337 cpv. 1 CO il datore di lavoro e il lavoratore possono in ogni tempo recedere immediatamente dal rapporto di lavoro per cause gravi. Per il suo capoverso 2, è considerata causa grave, in particolare, ogni circostanza che non permetta per ragioni di buona fede di esigere da chi dà la disdetta che abbia a continuare nel contratto. A tal proposito, il giudice cantonale ha pertinentemente osservato che motivi economici non configurano una causa grave ai sensi del citato disposto. Di conseguenza, ha concluso l'istanza precedente, non avendo la società insorgente rispettato la condizione risolutiva posta al momento della concessione degli assegni per il periodo d'introduzione, a ragione l'Ufficio delle misure attive ne ha chiesto la restituzione.</w:t>
      </w:r>
    </w:p>
    <w:p>
      <w:r>
        <w:rPr>
          <w:b/>
        </w:rPr>
        <w:t>E. 4</w:t>
      </w:r>
    </w:p>
    <w:p>
      <w:r>
        <w:t>Questo Tribunale non vede valido motivo per scostarsi dalla valutazione del primo giudice. Ne segue che la pronuncia impugnata, non violando il diritto federale né fondandosi su un accertamento dei fatti manifestamente errato, merita di essere confermata mentre il gravame deve essere respinto.</w:t>
      </w:r>
    </w:p>
    <w:p>
      <w:r>
        <w:t>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