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817/2013 vom 28. Mai 2014</w:t>
      </w:r>
    </w:p>
    <w:p>
      <w:r>
        <w:t>Bundesgericht, 2014-05-28, DE</w:t>
      </w:r>
    </w:p>
    <w:p>
      <w:r>
        <w:rPr>
          <w:b/>
        </w:rPr>
        <w:t xml:space="preserve">Quelle: </w:t>
      </w:r>
      <w:r>
        <w:t>https://mcp.opencaselaw.ch/entscheid/bger_8C_817_2013</w:t>
      </w:r>
    </w:p>
    <w:p>
      <w:r>
        <w:t>FR: TF 8C 817/2013 du 28 mai 2014</w:t>
      </w:r>
    </w:p>
    <w:p>
      <w:r>
        <w:t>IT: TF 8C 817/2013 del 28 maggio 2014</w:t>
      </w:r>
    </w:p>
    <w:p>
      <w:pPr>
        <w:pStyle w:val="Heading2"/>
      </w:pPr>
      <w:r>
        <w:t>Regeste</w:t>
      </w:r>
    </w:p>
    <w:p>
      <w:r>
        <w:t>Invalidenversicherung (Invalidenrente; Teilerwerbstätigkeit)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9C_779/2010 vom 30. September 2011 E. 1.1.1, nicht publ. in: BGE 137 V 446 , aber in: SVR 2012 BVG Nr. 11 S. 44, und 9C_999/2010 vom 14. Februar 2011 E. 1).</w:t>
      </w:r>
    </w:p>
    <w:p>
      <w:r>
        <w:rPr>
          <w:b/>
        </w:rPr>
        <w:t>E. 2</w:t>
      </w:r>
    </w:p>
    <w:p>
      <w:r>
        <w:t>Zu prüfen ist unter sachverhaltsmässig eingeschränktem Blickwinkel, ob das kantonale Gericht die am 28. Juni 2012 verfügte revisionsweise Aufhebung der bisherigen ganzen Rente zu Recht bestätigt hat. Strittig ist dabei insbesondere, ob die Beschwerdeführerin bei intakten gesundheitlichen Verhältnisse einer teilzeitlichen Erwerbstätigkeit nachginge oder ob sie sich, so Vorinstanz und Beschwerdegegnerin, vollumfänglich ihren häuslichen Aufgaben samt Kinderbetreuung widmen würde. Ebenfalls uneinig sind sich die Verfahrensbeteiligten sodann in Bezug auf das Ausmass der leidensbedingten Einschränkung im Haushalt.</w:t>
      </w:r>
    </w:p>
    <w:p>
      <w:r>
        <w:rPr>
          <w:b/>
        </w:rPr>
        <w:t>E. 2.1</w:t>
      </w:r>
    </w:p>
    <w:p>
      <w:r>
        <w:t>Die für die Beurteilung relevanten gesetzlichen Grundlagen und die einschlägige Rechtsprechung wurden im angefochtenen Entscheid zutreffend wiedergegeben.</w:t>
      </w:r>
    </w:p>
    <w:p>
      <w:r>
        <w:rPr>
          <w:b/>
        </w:rPr>
        <w:t>E. 2.1.1</w:t>
      </w:r>
    </w:p>
    <w:p>
      <w:r>
        <w:t>Es betrifft dies namentlich die Bestimmungen und Grundsätze zur Beurteilung der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132 V 393 E. 2.1 S. 395 f.; vgl. ferner Urteil 9C_49/2008 vom 28. Juli 2008 E. 3.1 - 3.4]). Darauf wird verwiesen.</w:t>
      </w:r>
    </w:p>
    <w:p>
      <w:r>
        <w:rPr>
          <w:b/>
        </w:rPr>
        <w:t>E. 2.1.2</w:t>
      </w:r>
    </w:p>
    <w:p>
      <w:r>
        <w:t>Hervorzuheben sind im Speziellen die vorinstanzlichen Erwägungen, wonach die Frage, ob und gegebenenfalls in welchem zeitlichen Umfang eine in einem Aufgabenbereich beschäftigte versicherte Person ( Art. 5 Abs. 1 IVG in Verbindung mit Art. 8 Abs. 3 ATSG ) ohne Gesundheitsschaden erwerbstätig wäre, vor dem Hintergrund zu prüfen ist, was sie bei im Übrigen unveränderten Umständen täte, wenn keine gesundheitliche Beeinträchtigung bestünde. Entscheidend ist somit nicht der Anteil an Erwerbstätigkeit, welcher der versicherten Person im Gesundheitsfall zugemutet werden könnte, sondern in welchem Pensum sie hypothetisch erwerbstätig wäre (vgl. auch BGE 133 V 504 E. 3.3 S. 507 f.; Urteil 9C_684/2013 vom 29. Januar 2014 E. 3.2; je mit Hinweisen). Bei im Haushalt engagierten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125 V 146 E. 2c S. 150; 117 V 194 E. 3b S. 194 ff.; zudem BGE 137 V 334 E. 3.2 S. 338).</w:t>
      </w:r>
    </w:p>
    <w:p>
      <w:r>
        <w:rPr>
          <w:b/>
        </w:rPr>
        <w:t>E. 2.2</w:t>
      </w:r>
    </w:p>
    <w:p>
      <w:r>
        <w:t>Die auf einer Würdigung konkreter Umstände basierende Festsetzung des hypothetischen Umfangs der Erwerbstätigkeit ist eine Tatfrage, welche das Bundesgericht nur in den genannten Schranken    (E. 1) überprüft. Eine Rechtsfrage liegt lediglich vor, wenn die Festlegung des Ausmasses der erwerblichen Beschäftigung im Gesundheitsfall ausschliesslich gestützt auf die allgemeine Lebenserfahrung erfolgt ist (vgl. Urteil 8C_843/2011 vom 29. Mai 2012 E. 4.4 mit Hinweisen). Hinsichtlich der leidensbedingten Behinderung im Haushalt gilt es zu beachten, dass die auf einen den entsprechenden Anforderungen genügenden Abklärungsbericht an Ort und Stelle ( Art. 69 Abs. 2 IVV ; BGE 130 V 61 E. 6.2 S. 62 f.; dazu ferner E. 5.1 hiernach) gestützten Feststellungen einer gerichtlichen Vorinstanz tatsächlicher Natur sind, die vom Bundesgericht - analog zur Feststellung der Arbeitsunfähigkeit im erwerblichen Bereich ( BGE 132 V 393 E. 3.2    S. 397 ff.) - nur in den genannten Schranken überprüft werden (Urteil [des Eidg. Versicherungsgerichts] I 693/06 vom 20. Dezember 2006   E. 6.3).</w:t>
      </w:r>
    </w:p>
    <w:p>
      <w:r>
        <w:rPr>
          <w:b/>
        </w:rPr>
        <w:t>E. 3.1</w:t>
      </w:r>
    </w:p>
    <w:p>
      <w:r>
        <w:t>Prozessual ist darauf hinweisen, dass neue Tatsachen und Beweismittel nur in dem Ausmass vorgebracht werden dürfen, als erst der Entscheid der Vorinstanz dazu Anlass gibt ( Art. 99 Abs. 1 BGG ; BGE 136 III 123 E. 4.4.3 S. 129).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(Urteile 8C_51/2010 vom 21. Mai 2010 E. 3.1 und 9C_920/2008 vom 16. April 2009 E. 2.3, nicht publ. in: BGE 135 V 163 , aber in SVR 2009 BVG Nr. 30 S. 109). Inwiefern die Voraussetzung für ein nachträgliches Vorbringen von Tatsachen und Beweismitteln erfüllt sein soll, ist in der Beschwerde darzutun ( BGE 139 III 120 E. 3.1.2 S. 123).</w:t>
      </w:r>
    </w:p>
    <w:p>
      <w:r>
        <w:rPr>
          <w:b/>
        </w:rPr>
        <w:t>E. 3.2</w:t>
      </w:r>
    </w:p>
    <w:p>
      <w:r>
        <w:t>Die Beschwerdeführerin hat den durch die IV-Organe festgesetzten häuslichen Behinderungsgrad vor dem kantonalen Gericht lediglich pauschal als zu gering beanstandet, ohne näher auf die einzelnen, im Abklärungsbericht Haushalt vom 3./25. April 2012 aufgeführten, gewichteten und geschätzten Teilbereiche einzugehen. Soweit sie sich nunmehr detailliert zu den jeweiligen Aufgabenbereichen äussert, ist sie damit infolge des letztinstanzlich geltenden Novenverbots nicht zu hören. Weder ist ersichtlich noch zeigt die Versicherte auf, weshalb das Bundesgericht sich dennoch mit dem entsprechenden, nachgeschobenen Argumentarium befassen sollte.</w:t>
      </w:r>
    </w:p>
    <w:p>
      <w:r>
        <w:rPr>
          <w:b/>
        </w:rPr>
        <w:t>E. 4</w:t>
      </w:r>
    </w:p>
    <w:p>
      <w:r>
        <w:t>Hinsichtlich der Statusfrage stellt sich die Aktenlage wie folgt dar:</w:t>
      </w:r>
    </w:p>
    <w:p>
      <w:r>
        <w:rPr>
          <w:b/>
        </w:rPr>
        <w:t>E. 4.1</w:t>
      </w:r>
    </w:p>
    <w:p>
      <w:r>
        <w:t>Nachdem die Beschwerdeführerin zunächst als Vollerwerbstätige eingestuft worden war (vgl. Rentenverfügung vom 30. März 2007), leitete die Beschwerdegegnerin als Folge der Geburt des ersten Kindes am 12. August 2011 ein Revisionsverfahren ein. In dessen Verlauf vermerkte die Versicherte im Formular "Bestätigung der Erwerbstätigkeit bei Gesundheit" am 3. April 2012 handschriftlich, sie würde ohne gesundheitliche Beeinträchtigung im Umfang von 30 - 50 % eine Erwerbstätigkeit ausüben, "wenn E.________ in die Schule geht". Dem am 3./25. April 2012 verfassten Abklärungsbericht Haushalt ist auf die Frage "Würde heute ohne Behinderung eine Erwerbstätigkeit ausgeübt?" zu entnehmen, dass die Beschwerdeführerin als Gesunde ohne Kind vollzeitlich und mit Kind ab dessen Schuleintritt in einem Pensum von 30 - 50 % erwerbstätig wäre. In Anbetracht dieser Äusserungen sowie der gesamten Lebensumstände stufte die Beschwerdegegnerin die Versicherte als "ausschliesslich im Haushalt tätig" ein und ermittelte die Invalidität gestützt auf die spezifische Methode. Dagegen liess die Beschwerdeführerin vorinstanzlich vorbringen, sie würde im Gesundheitsfall zu 60 % ausserhäuslich arbeiten, was auch durch ihre Therapeutin Frau Dr. med. D.________ mit Schreiben vom 14. Februar 2013 bestätigt worden sei. Die IV-Behörden hätten sich bei der Beurteilung der Statusfrage massgeblich von der im Abklärungsbericht vom 3./25. April 2012 wiedergegebenen angeblichen Aussage ihrerseits leiten lassen. Darauf könne indessen nicht abgestellt werden, da ihre Antwort bei der entsprechenden Befragung entweder falsch interpretiert oder nicht richtig notiert worden sei. Sie habe stets eine, auf Grund der finanziellen Situation im Übrigen erforderliche Erwerbstätigkeit im Umfang von 30 - 60 % angestrebt und dies auch mündlich so deklariert. Dass eine derartige Beschäftigung erst ab Schuleintritt ihres Sohnes hätte geplant sein sollen, wie von der Verwaltung behauptet, beruhe mit grosser Wahrscheinlichkeit auf einem sprachlichen Missverständnis anlässlich der Erhebung vor Ort.</w:t>
      </w:r>
    </w:p>
    <w:p>
      <w:r>
        <w:rPr>
          <w:b/>
        </w:rPr>
        <w:t>E. 4.2.1</w:t>
      </w:r>
    </w:p>
    <w:p>
      <w:r>
        <w:t>Im Bereich des Sozialversicherungsrechts wird praxisgemäss in der Regel auf die sogenannten spontanen "Aussagen der ersten Stunde" abgestellt, denen in beweismässiger Hinsicht grösseres Gewicht beigemessen wird als späteren Darstellungen, die bewusst oder unbewusst von nachträglichen Überlegungen versicherungsrechtlicher oder anderer Art beeinflusst sein können ( BGE 121 V 45 E. 2a S. 47 mit Hinweisen). Insbesondere das eigenhändig niedergeschriebene Votum im Fragebogen belegt unzweideutig, dass sich die Versicherte vor Schuleintritt ihres Sohnes - und damit jedenfalls im für die Beurteilung massgebenden Zeitpunkt des Verfügungserlasses (vom    28. Juni 2012) - keine ausserhäusliche Tätigkeit hätte vorstellen können. Diese klare Äusserung korrespondiert ohne Weiteres mit den im Abklärungsbericht Haushalt vom 3./25. April 2012 festgehaltenen Angaben, weshalb keine Veranlassung besteht, von einer davon abweichenden Sichtweise auszugehen. Wesentlich für die Statusfrage ist stets, welches Lebensmodell im Rahmen einer Gesamtbetrachtung als das im entscheidrelevanten Moment überwiegend wahrscheinlichste beurteilt wird. Dabei kommt naturgemäss, da es sich um einen hypothetischen, für den Fall unversehrter Gesundheit angenommenen Sachverhalt handelt, der Darstellung der konkret betroffenen versicherten Person erhöhter Stellenwert zu. Die ersten, intuitiven Angaben sind in diesem Kontext sodann regelmässig als glaubhafter einzustufen als im Nachgang dazu gemachte, widersprechende Aussagen. Letztere bedingen, wie hievor aufgezeigt, eine kritische Würdigung, können sie doch Ergebnis eines zweckorientierten gedanklichen Vorgangs sein. Was den Umstand anbelangt, dass bei der Frage im Abklärungsbericht Haushalt, ob aktuell ohne Behinderung eine Erwerbstätigkeit ausgeübt würde, ein "Ja" angekreuzt wurde, kann die Beschwerdeführerin allein daraus nichts zu ihren Gunsten ableiten. Vielmehr ist davon auszugehen, dass die Versicherte als Gesunde teilweise erwerbstätig gewesen wäre, aber eben - ihren eigenen Äusserungen zufolge - erst ab Schuleintritt ihres Kindes. Ein Verständnisproblem, wie von der Versicherten geltend gemacht, erscheint überdies wenig überzeugend, hält sie sich doch seit ihrem    13. Lebensjahr in der deutschsprachigen Schweiz auf und hat hier die Schulen sowie eine Berufslehre absolviert. Zudem attestieren ihr die involvierten Ärzte übereinstimmend gute deutsche Sprachkenntnisse (vgl. Gutachten der Psychiatrischen Dienste vom 15. November 2006, S. 7 oben, und des Zentrums C.________ vom 17. Dezember 2009, S. 18 Mitte, RAD-Untersuchungsbericht vom 11. April 2008, S. 3 oben).</w:t>
      </w:r>
    </w:p>
    <w:p>
      <w:r>
        <w:rPr>
          <w:b/>
        </w:rPr>
        <w:t>E. 4.2.2</w:t>
      </w:r>
    </w:p>
    <w:p>
      <w:r>
        <w:t>Wenn das kantonale Gericht die Beschwerdeführerin als ohne gesundheitliche Einschränkungen im Zeitpunkt des Erlasses der Revisionsverfügung vom 28. Juni 2012 ausschliesslich im Haushalt Tätige qualifiziert hat, so ist diese in tatsächlicher Hinsicht getroffene Feststellung angesichts der beschriebenen Sachlage nicht offensichtlich unrichtig oder gar willkürlich. Die Beschwerdegegnerin hat die Invalidität demnach zu Recht anhand der spezifischen Methode bemessen.</w:t>
      </w:r>
    </w:p>
    <w:p>
      <w:r>
        <w:rPr>
          <w:b/>
        </w:rPr>
        <w:t>E. 4.3</w:t>
      </w:r>
    </w:p>
    <w:p>
      <w:r>
        <w:t>Soweit in grundsätzlicher Weise beanstandet wird, die von den IV-Stellen praktizierte (systematische) Überprüfung der Invalidität im Falle der Geburt eines Kindes nur bei Frauen mit der Folge der Aufhebung oder Herabsetzung der Rente stelle einen diskriminierenden Vorgang dar, gilt es zu präzisieren. Nicht der Umstand der Familiengründung an sich führt allenfalls zu einer Rentenrevision. Vielmehr bietet sie lediglich Anlass für Abklärungen in Bezug auf die Statusfrage. Einzig wenn diese ergeben, dass die rentenbeziehende Person - unabhängig ihres Geschlechts - ihre Erwerbstätigkeit ohne gesundheitliche Beeinträchtigungen auf Grund der Geburt des Kindes tatsächlich reduziert oder aufgegeben hätte, steht eine Abänderung der bisherigen Rente im Raum. Ebenfalls nicht erkennbar ist, inwiefern unter diesen Prämissen gegen die Rechte von Behinderten im Sinne von Art. 8 Abs. 2 und 4 BV sowie Art. 2 Abs. 1 des Bundesgesetzes über die Beseitigung von Benachteiligungen von Menschen mit Behinderungen (Behindertengleichstellungsgesetz, BehiG; SR 151.3) verstossen werden sollte.</w:t>
      </w:r>
    </w:p>
    <w:p>
      <w:r>
        <w:rPr>
          <w:b/>
        </w:rPr>
        <w:t>E. 5</w:t>
      </w:r>
    </w:p>
    <w:p>
      <w:r>
        <w:t>Im Weiteren wird die vorinstanzliche Annahme einer behinderungsbedingten Einschränkung im Haushalt von 11,2 % gerügt. Grundlage dafür bildeten die Schlussfolgerungen des von einer Haushaltsexpertin des IV-Abklärungsdienstes verfassten Abklärungsberichts Haushalt vom 3./25. April 2012.</w:t>
      </w:r>
    </w:p>
    <w:p>
      <w:r>
        <w:rPr>
          <w:b/>
        </w:rPr>
        <w:t>E. 5.1</w:t>
      </w:r>
    </w:p>
    <w:p>
      <w:r>
        <w:t>Die von einer qualifizierten Person durchgeführte Abklärung vor Ort (nach Massgabe des Art. 69 Abs. 2 IVV ; vgl. auch Rz. 3084 ff. des Kreisschreibens des BSV über Invalidität und Hilflosigkeit in der Invalidenversicherung [KSIH]) stellt für gewöhnlich die geeignete und genügende Vorkehr zur Bestimmung der gesundheitlichen Einschränkung im Haushalt dar (Urteil 9C_201/2011 vom 5. September 2011 E. 2, in: SVR 2012 IV Nr. 19 S. 86).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AHI 2003 S. 215).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(Urteile [des Eidg. Versicherungsgerichts] I 249/04 vom 6. September 2004          E. 5.1.1, in: SVR 2005 IV Nr. 21 S. 81, I 311/03 vom 22. Dezember 2003 E. 5.3, in: AHI 2004 S. 137, und I 99/00 vom 26. Oktober 2000   E. 3c, in: AHI 2001 S. 158).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w:t>
      </w:r>
    </w:p>
    <w:p>
      <w:r>
        <w:rPr>
          <w:b/>
        </w:rPr>
        <w:t>E. 5.2.1</w:t>
      </w:r>
    </w:p>
    <w:p>
      <w:r>
        <w:t>Am 3. April 2012 hat die Beschwerdegegnerin, handelnd durch eine Haushaltsexpertin ihres Abklärungsdienstes, Erhebungen vor Ort im Haushalt der Versicherten durchgeführt. Sie ist dabei gemäss Bericht vom 3./25. April 2012 zu dem durch das kantonale Gericht bestätigten Ergebnis gelangt, dass insgesamt eine Einschränkung von 11,2 % vorliege. Dagegen wird im Wesentlichen eingewendet - auf die im Detail zu den einzelnen häuslichen Teilbereichen vorgebrachten Kritikpunkte kann infolge verspäteter Geltendmachung nicht eingegangen werden (vgl. E. 3.2 hievor) -, der derart bemessene Behinderungsgrad sei "viel zu tief" festgesetzt.</w:t>
      </w:r>
    </w:p>
    <w:p>
      <w:r>
        <w:rPr>
          <w:b/>
        </w:rPr>
        <w:t>E. 5.2.2</w:t>
      </w:r>
    </w:p>
    <w:p>
      <w:r>
        <w:t>Entgegen der von der Beschwerdeführerin vertretenen Auffassung sind keine Umstände auszumachen, welche den Abklärungsbericht im Lichte der dargestellten Grundsätze als ungeeignet oder mangelhaft erscheinen liessen. Namentlich wurde die gestützt darauf festgestellte Beeinträchtigung regelkonform unter Berücksichtigung der Mithilfe des Ehemannes der Versicherten (bei der Wohnungspflege, beim wöchentlichen Einkauf, bei der Kinderbetreuung) im Rahmen schadenmindernder Vorkehren ermittelt. Dabei gilt es zu beachten, dass die diesbezügliche Mithilfe durch Familienangehörige rechtsprechungsgemäss weiter geht als die ohne Gesundheitsschädigung üblicherweise zu erwartende Unterstützung ( BGE 133 V 504 E. 4.2 S. 509 f. mit Hinweisen; Urteil 8C_352/2008 vom 9. Oktober 2008 E. 5.2.1). Da die anlässlich der Haushaltsabklärung erhobenen Einschränkungen mit Blick auf den Gesundheitsschaden - die Versicherte leidet zur Hauptsache an einer Persönlichkeitsstörung vom emotional instabilen Typus - im Übrigen auch (fach-) ärztlicherseits als plausibel gewertet werden (vgl. Stellungnahme des RAD [Dr. med. F.________, Facharzt für Psychiatrie und Psychotherapie FMH] vom    7. Mai 2012), ist von deckungsgleichen Einschätzungen auszugehen. Die in der Beschwerde beantragten Abklärungen in Form eines umfassenden interdisziplinären ärztlichen Gutachtens zur Frage der Beeinträchtigung im Aufgabenbereich Haushaltführung/Kinderbetreuung wie auch die erneute Befragung der Versicherten unter unabhängiger (allenfalls ärztlicher) Begleitung erübrigen sich daher, wie der Blick auf die hievor zitierte Rechtsprechung zeigt. Die weiteren Vorbringen in der Beschwerde vermögen, soweit sie überhaupt zu berücksichtigen sind, ebenfalls keine qualifizierte Rechtsfehlerhaftigkeit der Feststellungen des kantonalen Gerichts zur noch vorhandenen Leistungsfähigkeit in diesem Bereich darzutun, sodass es dabei sein Bewenden hat. Angesichts eines Invaliditätsgrades von 11,2 % wurde die bisherige ganze Rente zu Recht auf Ende 2012 aufgehoben.</w:t>
      </w:r>
    </w:p>
    <w:p>
      <w:r>
        <w:rPr>
          <w:b/>
        </w:rPr>
        <w:t>E. 5.3</w:t>
      </w:r>
    </w:p>
    <w:p>
      <w:r>
        <w:t>Darauf hinzuweisen bleibt, dass es der Beschwerdeführerin bei veränderten gesundheitlichen oder die Statusfrage betreffenden Verhältnissen jederzeit, spätestens aber bei Schuleintritt ihres Sohnes offen steht, abermals bei der Invalidenversicherung vorstellig zu werden.</w:t>
      </w:r>
    </w:p>
    <w:p>
      <w:r>
        <w:rPr>
          <w:b/>
        </w:rPr>
        <w:t>E. 6</w:t>
      </w:r>
    </w:p>
    <w:p>
      <w:r>
        <w:t>Dem Verfahrensausgang entsprechend hat die Beschwerdeführerin die Gerichtskosten zu tragen ( Art. 66 Abs. 1 Satz 1 BGG ). Ihrem Gesuch um Gewährung der unentgeltlichen Prozessführung und Verbeiständung ( Art. 64 Abs. 1 und 2 BGG ) kann jedoch entsprochen werden, da die Bedürftigkeit auf Grund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