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8C_817/2011 vom 31. Januar 2012</w:t>
      </w:r>
    </w:p>
    <w:p>
      <w:r>
        <w:t>Bundesgericht, 2012-01-31, DE</w:t>
      </w:r>
    </w:p>
    <w:p>
      <w:r>
        <w:rPr>
          <w:b/>
        </w:rPr>
        <w:t xml:space="preserve">Quelle: </w:t>
      </w:r>
      <w:r>
        <w:t>https://mcp.opencaselaw.ch/entscheid/bger_8C_817_2011</w:t>
      </w:r>
    </w:p>
    <w:p>
      <w:r>
        <w:t>FR: TF 8C_817/2011 du 31 janvier 2012</w:t>
      </w:r>
    </w:p>
    <w:p>
      <w:r>
        <w:t>IT: TF 8C_817/2011 del 31 gennaio 2012</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Rechtsfragen sind die unvollständige Feststellung rechtserheblicher Tatsachen sowie die Missachtung des Untersuchungsgrundsatzes ( Art. 43 Abs. 1, Art. 61 lit. c ATSG ) und der Anforderungen an den Beweiswert von Arztberichten ( BGE 135 V 465 , 134 V 231 E. 5.1 S. 232). Die aufgrund medizinischer Untersuchungen gerichtlich festgestellte Arbeitsfähigkeit und die konkrete Beweiswürdigung sind Tatfragen ( BGE 132 V 393 E. 3.2 S. 397; nicht publ. E. 4.1 des Urteils BGE 135 V 254 , in SVR 2009 IV Nr. 53 S. 164 [9C_204/2009]; Urteil 8C_477/2011 vom 23. Dezember 2011 E. 1).</w:t>
      </w:r>
    </w:p>
    <w:p>
      <w:r>
        <w:rPr>
          <w:b/>
        </w:rPr>
        <w:t>E. 2</w:t>
      </w:r>
    </w:p>
    <w:p>
      <w:r>
        <w:t>Die Vorinstanz hat die Grundlagen über die Invalidität ( Art. 8 Abs. 1 ATSG ; Art. 4 Abs. 1 IVG ), die Invaliditätsbemessung bei Erwerbstätigen nach dem Einkommensvergleich ( Art. 16 ATSG ; Art. 28a Abs. 1 IVG ), den Rentenanspruch ( Art. 28 Abs. 1 IVG ), die bei der Neuanmeldung analog anwendbaren Revisionsgrundsätze ( Art. 17 Abs. 1 ATSG ; Art. 87 Abs. 3 und 4 IVV ; BGE 133 V 108 E. 5.2 S. 111), den Beweisgrad der überwiegenden Wahrscheinlichkeit ( BGE 134 V 109 E. 9.5 S. 125) und den Beweiswert ärztlicher Berichte (E. 1 hievor) richtig dargelegt. Darauf wird verwiesen.</w:t>
      </w:r>
    </w:p>
    <w:p>
      <w:r>
        <w:rPr>
          <w:b/>
        </w:rPr>
        <w:t>E. 3.1</w:t>
      </w:r>
    </w:p>
    <w:p>
      <w:r>
        <w:t>Die Vorinstanz hat in Würdigung der medizinischen Akten mit einlässlicher Begründung - auf die verwiesen wird - richtig erkannt, dass sich der Gesundheitszustand des Versicherten seit der Renteneinstellung per 31. Januar 2006 (Verfügung vom 18. April 2007) bis zur streitigen Verfügung vom 12. November 2011 nicht erheblich verschlechtert und er keinen Rentenanspruch hat.</w:t>
      </w:r>
    </w:p>
    <w:p>
      <w:r>
        <w:t>Die Vorbringen des Versicherten vermögen an diesem Ergebnis nichts zu ändern. Dies gilt auch für die zusätzliche Eingabe vom 18. Januar 2012, welche überdies ausserhalb der Beschwerdefrist und daher verspätet ( Art. 99 und 100 BGG ) erfolgt ist. Er erhebt keine Rügen, welche die vorinstanzlichen Feststellungen zu seiner Arbeitsfähigkeit als offensichtlich unrichtig oder als Ergebnis willkürlicher Beweiswürdigung oder als rechtsfehlerhaft nach Art. 95 BGG erscheinen lassen. Eine ungenügende Sachverhaltsabklärung liegt nicht vor, weil die dafür u.a. notwendigen Voraussetzungen - unauflösbare Widersprüche tatsächlicher Art oder Beantwortung einer entscheidwesentlichen Tatfrage, wie namentlich bezüglich Gesundheitszustand und Arbeitsfähigkeit, auf unvollständiger Beweisgrundlage - nicht vorliegen. Im Rahmen der freien, pflichtgemässen Würdigung der Beweise durch die Vorinstanz ergab sich ein nachvollziehbares und schlüssiges Bild des Gesundheitszustandes, das nach dem Beweisgrad der überwiegenden Wahrscheinlichkeit hinreichende Klarheit über den rechtserheblichen Sachverhalt vermittelt, weshalb ihre Sachverhaltsfeststellung bundesrechtskonform ist (vgl. Urteil 8C_639/2011 vom 5. Januar 2012 E. 4.2). Von weiteren medizinischen Abklärungen ist - der Vorinstanz folgend - abzusehen, da hievon keine neuen Erkenntnisse zu erwarten sind (antizipierte Beweiswürdigung; BGE 137 V 64 E. 5.2 S. 69, 136 I 229 E. 5.3 S. 236). Festzuhalten ist insbesondere Folgendes:</w:t>
      </w:r>
    </w:p>
    <w:p>
      <w:r>
        <w:rPr>
          <w:b/>
        </w:rPr>
        <w:t>E. 3.2</w:t>
      </w:r>
    </w:p>
    <w:p>
      <w:r>
        <w:t>Der Versicherte macht geltend, er verlange das rechtliche Gehör (vgl. Art. 29 Abs. 2 BV ) bezüglich der relevanten Aktenstücke, damit er rechtzeitig Einfluss auf die (vorgefasste) Entscheidfindung nehmen könne. Es sei nicht ausreichend, wenn er erst kurz vor Erlass der Verfügung vom 12. November 2010 - nachdem der Vorentscheid vom 20. August 2010 bereits gefällt worden sei - die Möglichkeit erhalte, sich zum Beweisergebnis zu äussern. Die IV-Stelle habe sich in der Verfügung massgeblich auf die Stellungnahmen der RAD-Ärzte vom 4. August 2010 gestützt. Ergänzungsfragen des Versicherten an den Arzt hätten somit nicht berücksichtigt werden können. Dem ist entgegenzuhalten, dass der bereits damals anwaltlich vertretene Versicherte Gelegenheit hatte, zum Vorentscheid der IV-Stelle Stellung zu nehmen, wovon er mit Eingabe vom 24. September 2010 Gebrauch machte. Hierin äusserte er sich auch zu den RAD-Stellungnahmen vom 4. August 2010, ohne Ergänzungsfragen zu stellen. Unter diesen Umständen ist eine Verletzung des Gehörsanspruchs nicht ersichtlich.</w:t>
      </w:r>
    </w:p>
    <w:p>
      <w:r>
        <w:rPr>
          <w:b/>
        </w:rPr>
        <w:t>E. 3.3</w:t>
      </w:r>
    </w:p>
    <w:p>
      <w:r>
        <w:t>In somatischer Hinsicht wendet der Versicherte ein, die Verschlechterung seines Gesundheitszustandes sei auf Weichteilbeschwerden zurückzuführen. Soweit er geltend macht, dies ergebe sich aus dem Bericht des Psychiaters A.________ und des Psychologen/Supervisors Dr. phil. S.________ vom 16. Juni 2010 (vgl. auch E. 3.4 hienach), kann dem nicht gefolgt werden. Im vom Versicherten weiter ins Feld geführten Bericht vom 26. Januar 2010 legte Dr. med. H.________ dar, aus somatischer Sicht könne leider keine objektive Verschlechterung, d.h. keine deutliche pathologische Veränderung in den bildgebenden Verfahren oder in einer neurologischen Abklärung dokumentiert werden; das heisse nicht, dass es dem Versicherten nicht schlechter gehe; diese Verschlechterung sei vor allem eine Folge der Beschwerden in den Weichteilen (zervikal und lumbal), die leider nicht durch objektive pathologische Veränderungen dokumentiert werden könne. Unbehelflich ist der Einwand des Versicherten, als Beweismöglichkeit existiere zum Beispiel das 7-T-MRI. Denn Dr. med. H.________ führte am 5. August 2010 aus, diese Methode zur Dokumentierung von Weichteilschäden werde in Deutschland bezüglich der Schleudertraumaproblematik, allerdings erst experimentell, eingesetzt. Bis heute liessen sich Weichteilbeschwerden aufgrund der fehlenden Technik noch nicht objektivieren. Dass sich hieran etwas geändert hätte und das 7-T-MRI von Forschern und Praktikern der medizinischen Wissenschaft auf breiter Basis anerkannt wäre (vgl. BGE 134 V 231 ), macht der Versicherte nicht geltend.</w:t>
      </w:r>
    </w:p>
    <w:p>
      <w:r>
        <w:rPr>
          <w:b/>
        </w:rPr>
        <w:t>E. 3.4</w:t>
      </w:r>
    </w:p>
    <w:p>
      <w:r>
        <w:t>Der Psychiater FMH A.________ und der Psychologe/Supervisor Dr. phil. S.________ diagnostizierten im Bericht vom 16. Juni 2010 eine posttraumatische Belastungsstörung (ICD-10 F43.1); wegen der Traumatisierung sei der Versicherte nicht in der Lage, einem regelmässigen Arbeitsprozess zu folgen; er müsste selbstbestimmend immer wieder liegen können; unzumutbar seien Anforderungen, Stress und Publikumsverkehr. Der Beschwerdeführer macht geltend, die Verschlechterung seines Gesundheitszustandes sei auf die posttraumatische Belastungsstörung zurückzuführen. Dem kann nicht gefolgt werden. Die Vorinstanz hat gestützt auf die Stellungnahme des RAD-Psychiaters Dr. med. B.________ vom 4. August 2010 - im Lichte der eingeschränkten bundesgerichtlichen Kognition - in nicht zu beanstandender Weise erkannt, dass der psychiatrische Bericht vom 16. Juni 2010 eine unterschiedliche Beurteilung eines seit 1. Februar 2006 im Wesentlichen gleich gebliebenen Sachverhalts beinhaltet, die unbeachtlich ist (nicht publ. E. 3.2 des Urteils BGE 136 V 216 , in SVR 2011 IV Nr. 1 S. 1 E. 3.2 [8C_972/2009]; Urteil 8C_624/2011 vom 2. November 2011 E. 2). Aus dem Urteil 8C_754/2009 vom 15. Juli 2010 kann der Versicherte nichts zu seinen Gunsten ableiten, da der dortige Sachverhalt mit dem vorliegenden nicht hinreichend vergleichbar ist; entgegen seinem Vorbringen erfolgte darin insbesondere keine Praxisänderung bezüglich der posttraumatischen Belastungsstörung.</w:t>
      </w:r>
    </w:p>
    <w:p>
      <w:r>
        <w:rPr>
          <w:b/>
        </w:rPr>
        <w:t>E. 3.5</w:t>
      </w:r>
    </w:p>
    <w:p>
      <w:r>
        <w:t>Schliesslich vermag der Umstand, dass die RAD-Arztpersonen Frau D._________ und Dr. med. B.________ den Versicherten nicht selber untersucht haben, ihre Stellungnahmen aufgrund der Aktenlage nicht in Frage zu stellen (vgl. SVR 2009 IV Nr. 56 S. 174 E. 4.3.1 [9C_323/2009]).</w:t>
      </w:r>
    </w:p>
    <w:p>
      <w:r>
        <w:rPr>
          <w:b/>
        </w:rPr>
        <w:t>E. 4</w:t>
      </w:r>
    </w:p>
    <w:p>
      <w:r>
        <w:t>Der unterliegende Beschwerdeführer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