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8C_816/2007 vom 11. November 2008</w:t>
      </w:r>
    </w:p>
    <w:p>
      <w:r>
        <w:t>Bundesgericht, 2008-11-11, FR</w:t>
      </w:r>
    </w:p>
    <w:p>
      <w:r>
        <w:rPr>
          <w:b/>
        </w:rPr>
        <w:t xml:space="preserve">Quelle: </w:t>
      </w:r>
      <w:r>
        <w:t>https://mcp.opencaselaw.ch/entscheid/bger_8C_816_2007</w:t>
      </w:r>
    </w:p>
    <w:p>
      <w:r>
        <w:t>FR: TF 8C_816/2007 du 11 novembre 2008</w:t>
      </w:r>
    </w:p>
    <w:p>
      <w:r>
        <w:t>IT: TF 8C_816/2007 del 11 novembre 2008</w:t>
      </w:r>
    </w:p>
    <w:p>
      <w:pPr>
        <w:pStyle w:val="Heading2"/>
      </w:pPr>
      <w:r>
        <w:t>Erwägungen</w:t>
      </w:r>
    </w:p>
    <w:p>
      <w:r>
        <w:rPr>
          <w:b/>
        </w:rPr>
        <w:t>E. 1</w:t>
      </w:r>
    </w:p>
    <w:p>
      <w:r>
        <w:t>Selon l'art. 86 al. 1 lettre d LTF en relation avec l' art. 114 LTF , le recours en matière de droit public et le recours constitutionnel subsidiaire sont recevables contre les décisions des autorités cantonales de dernière instance. Le recours constitutionnel subsidiaire étant irrecevable en cas de recevabilité du recours en matière de droit public ( art. 113 LTF ), il convient d'examiner en priorité si cette dernière voie de droit est ouverte. Tel est le cas en l'espèce, dès lors qu'on se trouve en présence d'une décision rendue dans une cause de droit public ( art. 82 let. a LTF ) qui ne tombe pas dans la clause d'exclusion de l'art. 83 let. a à t LTF. Partant, il n'y a pas lieu d'entrer en matière sur le recours constitutionnel subsidiaire.</w:t>
      </w:r>
    </w:p>
    <w:p>
      <w:r>
        <w:rPr>
          <w:b/>
        </w:rPr>
        <w:t>E. 2</w:t>
      </w:r>
    </w:p>
    <w:p>
      <w:r>
        <w:t>Le recours en matière de droit public ( art. 82 ss LTF ) peut notamment être formé pour violation du droit fédéral ( art. 95 let. a LTF ) qui comprend les droits fondamentaux ( art. 106 al. 2 LTF ). Le Tribunal fédéral applique le droit d'office ( art. 106 al. 1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Pour les griefs de violation de droits fondamentaux ou de dispositions de droit cantonal, le recourant doit, comme sous l'empire de l' art. 90 al. 1 let. b OJ , satisfaire au principe d'allégation, soit indiquer précisément quelle disposition constitutionnelle ou légale a été violée et démontrer par une argumentation précise en quoi consiste la violation ( art. 106 al. 2 LTF ; ATF 134 II 244 consid. 2.2. p. 246; 130 I 26 consid. 2.1 p. 31, 258 consid. 1.3 p. 261 sv.; 129 I 113 consid. 2.1 p. 120).</w:t>
      </w:r>
    </w:p>
    <w:p>
      <w:r>
        <w:rPr>
          <w:b/>
        </w:rPr>
        <w:t>E. 3.1</w:t>
      </w:r>
    </w:p>
    <w:p>
      <w:r>
        <w:t>Dans le jugement entrepris, la juridiction cantonale a tout d'abord constaté que la question de la restitution des subsides LAMal alloués à tort aux époux R.________ et M.________ n'avait pas été tranchée par son précédent jugement du 9 mars 2005 opposant lesdits époux à l'OCPA. Elle s'était alors bornée à prendre acte de la réduction des prétentions de l'OCPA en ce qui concernait la restitution de ces subsides. Il appartenait en effet au SAM lui-même de réclamer les prestations qu'il avait versés. La juridiction cantonale a ensuite nié que le droit du SAM de réclamer les prestations indues fût prescrit, considérant que ce service avait eu connaissance des faits déterminants seulement au moment où l'OCPA lui avait transmis la copie du jugement du 9 mars 2005. Enfin, dès lors que les époux R.________ et M.________ n'étaient plus au bénéfice de prestations complémentaires depuis le 1er janvier 1999, ils ne pouvaient pas non plus prétendre aux subsides pour les primes de l'assurance-maladie, de sorte que la décision de restitution du SAM était également bien fondée.</w:t>
      </w:r>
    </w:p>
    <w:p>
      <w:r>
        <w:rPr>
          <w:b/>
        </w:rPr>
        <w:t>E. 4</w:t>
      </w:r>
    </w:p>
    <w:p>
      <w:r>
        <w:t>En bref, les recourants soutiennent que le représentant de l'OCPA avait valablement renoncé à leur réclamer le remboursement du montant des subsides cantonaux litigieux lors de l'audience de comparution personnelle du 6 octobre 2004. A ce moment-là, le Tribunal cantonal genevois des assurances sociales n'avait pas encore jugé contraire au droit cantonal la pratique de l'OCPA en matière de recouvrement des subsides de l'assurance-maladie. En interprétant autrement la déclaration de renonciation faite par l'OCPA, les premiers juges auraient établi les faits de manière arbitraire. La solution retenue constituait par ailleurs une violation du principe de la bonne foi.</w:t>
      </w:r>
    </w:p>
    <w:p>
      <w:r>
        <w:rPr>
          <w:b/>
        </w:rPr>
        <w:t>E. 5.1</w:t>
      </w:r>
    </w:p>
    <w:p>
      <w:r>
        <w:t>Il s'agit de déterminer si le SAM est en droit de demander aux époux R.________ et M.________ la restitution du montant des subsides qu'il a versé pour la couverture de leurs primes d'assurance-maladie du 1er février 2001 au 31 décembre 2001. Pour ce faire, il convient d'examiner la portée de la procédure ayant opposé lesdits époux à l'OCPA. En effet, les recourants n'ont plus soulevé l'exception de prescription à l'égard de la prétention du SAM, de sorte que le Tribunal fédéral n'a pas à traiter de cette question.</w:t>
      </w:r>
    </w:p>
    <w:p>
      <w:r>
        <w:rPr>
          <w:b/>
        </w:rPr>
        <w:t>E. 5.2</w:t>
      </w:r>
    </w:p>
    <w:p>
      <w:r>
        <w:t>En l'espèce, la contestation soumise à l'examen du Tribunal cantonal genevois dans le cadre de la procédure qui a donné lieu au jugement du 9 mars 2005 portait uniquement sur le refus, par l'OCPA, d'accorder aux époux R.________ et M.________ la remise de l'obligation de restituer le montant 44'584 fr. 60 (cf. la décision sur opposition du 24 mars 2003). Dans son principe, l'obligation de restituer ce montant avait déjà fait l'objet des décisions - non attaquées et donc entrées en force - de l'OCPA du 18 juillet 2002. Dans ces conditions, on ne saurait attribuer aux déclarations du représentant de l'OCPA les effets d'une reconsidération (partielle) de ces décisions de restitution, définitives et exécutoires, qui ne formaient pas l'objet du recours cantonal des époux R.________ et M.________ (cf. art. 53 al. 3 LPGA ). Ce d'autant moins que l'OCPA n'a rendu aucune décision formelle ( art. 49 al. 1 LPGA ) allant dans ce sens.</w:t>
      </w:r>
    </w:p>
    <w:p>
      <w:r>
        <w:rPr>
          <w:b/>
        </w:rPr>
        <w:t>E. 5.3</w:t>
      </w:r>
    </w:p>
    <w:p>
      <w:r>
        <w:t>Cela étant, il se pose encore la question de savoir si les décisions du 18 juillet 2002, en tant qu'elles réclament aux recourants la restitution des subsides octroyés à tort pour les primes de l'assurance-maladie, doivent être considérées comme nulles dès lors que, selon le tribunal cantonal, il n'appartenait pas à l'OCPA mais au SAM de procéder au recouvrement de ces prestations. Ne sont frappées de nullité absolue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L'incompétence qualifiée de l'autorité qui a statué peut être un motif de nullité ( ATF 132 II 21 consid. 3.1 p. 27; 130 III 430 consid. 3.3 p. 434; 129 I 361 consid. 2.1 p. 363; 122 I 97 consid. 3a/aa p. 99; 118 Ia 336 consid. 2a p. 340; 116 Ia 215 consid. 2c p. 219). Dans le cas particulier, le défaut de compétence de l'OCPA pour prononcer la restitution des subsides litigieux n'apparaît toutefois pas à ce point évident qu'il doive entraîner une telle sanction. Avant d'avoir été jugée non conforme au droit cantonal par les premiers juges (dans une autre affaire similaire jugée le 7 octobre 2004), la façon de procéder de l'OCPA consistant à rendre des décisions de restitution non seulement en matière de prestations complémentaires mais également en matière de subsides LAMal correspondait à une pratique appliquée depuis plusieurs années et apparemment connue du SAM comme cela ressort de ses explications dans son mémoire de réponse cantonal du 8 juin 2007. Le SAM, informé par l'OCPA de la date de fin du droit aux subsides des époux R.________ et M.________ dans une communication du 12 juillet 2002, s'est d'ailleurs à cette époque abstenu de rendre lui-même la décision de restitution. Cette pratique tient certainement au fait que selon la législation cantonale (voir l'art. 22 al. 6 de la loi d'application de la loi fédérale sur l'assurance-maladie [LALAMal; RS/GE J 3 05]), les bénéficiaires des prestations de l'OCPA ont droit à l'allocation de subsides pour les primes de l'assurance-maladie et que cet office est par conséquent le mieux placé pour connaître des cas dans lesquels un de ses assurés aurait indûment touché ces subsides et engager rapidement une procédure de restitution. On relèvera encore que le législateur genevois, probablement à la suite du jugement cantonal désavouant l'OCPA (jugement du 7 octobre 2004), a remis cette pratique en vigueur en adoptant le 12 octobre 2006 un nouvel art. 33 al. 2 LALAMal, au terme duquel lorsque des subsides ont été indûment touchés par un bénéficiaire des prestations de l'OCPA, cet office peut en demander la restitution au nom et pour le compte du SAM. Il ne se justifie donc pas de constater la nullité des décisions de l'OCPA du 18 juillet 2002 lesquelles conservent toute leur validité faute d'avoir été annulées en temps utile. En faisant abstraction de ces décisions qui ont acquis l'autorité de la chose décidée et qui, de ce fait, interdisent au SAM de rendre une nouvelle décision ayant le même objet à l'égard des recourants, la juridiction cantonale a fait preuve d'arbitraire. Il s'ensuit que le recours doit être admis.</w:t>
      </w:r>
    </w:p>
    <w:p>
      <w:r>
        <w:rPr>
          <w:b/>
        </w:rPr>
        <w:t>E. 6</w:t>
      </w:r>
    </w:p>
    <w:p>
      <w:r>
        <w:t>Vu l'issue du litige, les frais de justice seront supportés par l'intimé (art. 66 al. 1 en relation avec l' art. 65 al. 4 let. a LTF ). Les recourants, qui obtiennent gain de cause, ont droit à une indemnité de dépens pour l'ensemble de la procédure à la charge de l'intimé ( art. 68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