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814/2011 vom 12. Januar 2012</w:t>
      </w:r>
    </w:p>
    <w:p>
      <w:r>
        <w:t>Bundesgericht, 2012-01-12, IT</w:t>
      </w:r>
    </w:p>
    <w:p>
      <w:r>
        <w:rPr>
          <w:b/>
        </w:rPr>
        <w:t xml:space="preserve">Quelle: </w:t>
      </w:r>
      <w:r>
        <w:t>https://mcp.opencaselaw.ch/entscheid/bger_8C_814_2011</w:t>
      </w:r>
    </w:p>
    <w:p>
      <w:r>
        <w:t>FR: TF 8C 814/2011 du 12 janvier 2012</w:t>
      </w:r>
    </w:p>
    <w:p>
      <w:r>
        <w:t>IT: TF 8C 814/2011 del 12 gennaio 2012</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2.1</w:t>
      </w:r>
    </w:p>
    <w:p>
      <w:r>
        <w:t>Oggetto del contendere è la richiesta della ricorrente a una rendita per superstiti.</w:t>
      </w:r>
    </w:p>
    <w:p>
      <w:r>
        <w:rPr>
          <w:b/>
        </w:rPr>
        <w:t>E. 2.2</w:t>
      </w:r>
    </w:p>
    <w:p>
      <w:r>
        <w:t>Come rettamente ricordato dall'istanza precedente, primo presupposto dell'erogazione di prestazioni da parte dell'INSAI è l'esistenza di un nesso di causalità naturale tra l'infortunio e le sue conseguenze (malattia, invalidità, morte). Cause, nel senso della causalità naturale, sono tutte le circostanze senza le quali un determinato evento non si sarebbe potuto verificare, o si sarebbe verificato in altro modo o in altro tempo. Perché si ammetta il nesso di causalità naturale non occorre che l'infortunio sia stato la sola o immediata causa del danno alla salute; è sufficiente che l'evento unitamente ad altri fattori abbia comunque provocato un danno all'integrità corporale o psichica dell'assicurato.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w:t>
      </w:r>
    </w:p>
    <w:p>
      <w:r>
        <w:rPr>
          <w:b/>
        </w:rPr>
        <w:t>E. 2.3</w:t>
      </w:r>
    </w:p>
    <w:p>
      <w:r>
        <w:t>Nel caso concreto, i primi giudici non hanno ritenuto sufficientemente dimostrato, con il necessario grado di verosimiglianza preponderante, un nesso causale, anche solo parziale, tra l'infortunio del 10 ottobre 1988 e il decesso del defunto marito della ricorrente. Essi hanno fondato la propria valutazione principalmente sugli accertamenti compiuti dal dott. S.________, specialista FMH in chirurgia, e dalla dott.ssa T.________, specialista FMH in medicina interna, entrambi attivi presso la divisione infortuni dell'INSAI a Lucerna. Questi ultimi hanno avuto modo di esaminare e confrontarsi in dettaglio con la documentazione medica all'inserto, spiegando come il decesso dell'assicurato fosse stato provocato dalla malattia tumorale intestinale con le sue metastasi a livello epatico, patologia che non si trovava in relazione causale con l'infezione da virus dell'epatite B. Preso atto delle conclusioni dei predetti specialisti, l'autorità giudiziaria cantonale, aderendo alla valutazione dell'istituto assicuratore, ha così considerato non essere dato, secondo il grado di verosimiglianza preponderante, il necessario nesso di causalità (naturale) tra evento infortunistico e decesso del defunto assicurato.</w:t>
      </w:r>
    </w:p>
    <w:p>
      <w:r>
        <w:rPr>
          <w:b/>
        </w:rPr>
        <w:t>E. 2.4</w:t>
      </w:r>
    </w:p>
    <w:p>
      <w:r>
        <w:t>Dopo attento esame dell'incarto, visto in particolare che nel ricorso di ultima istanza non si adducono argomenti idonei a stravolgere le conclusioni dell'autorità di primo grado, la quale ha esposto in modo convincente come di fronte a valutazioni mediche contraddittorie (in particolare il dott. I.________, specialista in medicina legale e delle assicurazioni a V.________, afferma l'esistenza di una relazione di causalità fra l'evento infortunistico e il decesso del defunto assicurato),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Si osservi peraltro che per ampi stralci la ricorrente si limita a riprendere testualmente le considerazioni espresse in sede cantonale nelle osservazioni del 7 ottobre 2011.</w:t>
      </w:r>
    </w:p>
    <w:p>
      <w:r>
        <w:rPr>
          <w:b/>
        </w:rPr>
        <w:t>E. 3</w:t>
      </w:r>
    </w:p>
    <w:p>
      <w:r>
        <w:t>Ne segue che il ricorso dev'essere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