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8C_812/2023 vom 31. Januar 2024</w:t>
      </w:r>
    </w:p>
    <w:p>
      <w:r>
        <w:t>Bundesgericht, 2024-01-31, DE</w:t>
      </w:r>
    </w:p>
    <w:p>
      <w:r>
        <w:rPr>
          <w:b/>
        </w:rPr>
        <w:t xml:space="preserve">Quelle: </w:t>
      </w:r>
      <w:r>
        <w:t>https://mcp.opencaselaw.ch/entscheid/bger_8C_812_2023</w:t>
      </w:r>
    </w:p>
    <w:p>
      <w:r>
        <w:t>FR: TF 8C_812/2023 du 31 janvier 2024</w:t>
      </w:r>
    </w:p>
    <w:p>
      <w:r>
        <w:t>IT: TF 8C_812/2023 del 31 gennaio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15. November 2023 den Einspracheentscheid des Beschwerdegegners vom 7. September 2023, worin der Beschwerdeführer wegen Nichtbefolgens einer Bewerbungsaufforderung für die Dauer von 31 Tagen in der Anspruchsberechtigung eingestellt wurde. Dabei legte es in Auseinandersetzung mit den Parteivorbringen und in Würdigung der Beweismittel dar, weshalb die vom Beschwerdegegner am 10. Juli 2023 mit A-Post Plus versandte Bewerbungsaufforderung als am Folgetag zugestellt zu betrachten ist.</w:t>
      </w:r>
    </w:p>
    <w:p>
      <w:r>
        <w:rPr>
          <w:b/>
        </w:rPr>
        <w:t>E. 3</w:t>
      </w:r>
    </w:p>
    <w:p>
      <w:r>
        <w:t>Die Ausführungen in der Beschwerde erschöpfen sich in einer letztinstanzlich unzulässigen appellatorischen Kritik an der vorinstanzlichen Beweiswürdigung. Inwiefern das kantonale Gericht dabei in Willkür verfallen sein (dazu Näheres: BGE 146 IV 88 E. 1.3.1 f.; 140 III 115 E. 2; je mit Hinweisen) oder einen anderen Beschwerdegrund ( Art. 95 ff. BGG ) gesetzt haben soll, legt der Beschwerdeführer nicht dar. Lediglich seine Sicht der Dinge darzulegen, ohne auf das von der Vorinstanz dazu Erwogene näher einzugehen,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