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8C_810/2021 vom 17. Dezember 2021</w:t>
      </w:r>
    </w:p>
    <w:p>
      <w:r>
        <w:t>Bundesgericht, 2021-12-17, DE</w:t>
      </w:r>
    </w:p>
    <w:p>
      <w:r>
        <w:rPr>
          <w:b/>
        </w:rPr>
        <w:t xml:space="preserve">Quelle: </w:t>
      </w:r>
      <w:r>
        <w:t>https://mcp.opencaselaw.ch/entscheid/bger_8C_810_2021</w:t>
      </w:r>
    </w:p>
    <w:p>
      <w:r>
        <w:t>FR: TF 8C_810/2021 du 17 décembre 2021</w:t>
      </w:r>
    </w:p>
    <w:p>
      <w:r>
        <w:t>IT: TF 8C_810/2021 del 17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8C_810/2021</w:t>
      </w:r>
    </w:p>
    <w:p>
      <w:r>
        <w:t>Urteil vom 17. Dezember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Arbeitslosenkasse des Kantons Thurgau, Multiplex 1, Langfeldstrasse 53a, 8510 Frauenfeld,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Thurgau</w:t>
      </w:r>
    </w:p>
    <w:p>
      <w:r>
        <w:t>vom 10. November 2021 (VV.2021.212/E).</w:t>
      </w:r>
    </w:p>
    <w:p>
      <w:r>
        <w:t>Nach Einsicht</w:t>
      </w:r>
    </w:p>
    <w:p>
      <w:r>
        <w:t>in die Beschwerde vom 8. Dezember 2021 gegen den Entscheid des Verwaltungsgerichts des Kantons Thurgau vom 10. November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konkret auf die für das Ergebnis des angefochtenen Entscheids massgeblichen Erwägungen einzugehen und im Einzelnen zu zeigen ist, welche Vorschriften und weshalb sie von der Vorinstanz verletzt worden sind ( BGE 140 III 264 E. 2.3; 134 V 53 und 133 IV 286 E. 1.4),</w:t>
      </w:r>
    </w:p>
    <w:p>
      <w:r>
        <w:t>dass Sachverhaltsfeststellungen nur insoweit gerügt werden können, als sie offensichtlich unrichtig im Sinne von Art. 97 Abs. 1 BGG , sprich willkürlich ( BGE 146 IV 88 E. 1.3.1 f.; 140 III 115 E. 2; je mit Hinweisen) sind oder sonstwie auf einer Rechtsverletzung im Sinne von Art. 95 BGG beruhen; hierfür gilt eine qualifizierte Rügepflicht ( Art. 97 Abs 1 und Art. 106 Abs. 2 BGG ; BGE 140 III 264 E. 2.3; 141 IV 249 E. 1.3.1; je mit Hinweisen,)</w:t>
      </w:r>
    </w:p>
    <w:p>
      <w:r>
        <w:t>dass das kantonale Gericht den Einspracheentscheid der Arbeitslosenkasse des Kantons Thurgau vom 31. August 2021 bestätigte, wonach dem Beschwerdeführer mangels Erfüllens der Beitragszeit nach Art. 8 Abs. 1 lit. e AVIG keine Arbeitslosenversicherungsleistungen zustehen,</w:t>
      </w:r>
    </w:p>
    <w:p>
      <w:r>
        <w:t>dass der Beschwerdeführer die dabei vorgenommene, für die Anspruchsverweigerung entscheidwesentliche Würdigung des Arbeitsunfähigkeitszeugnisses von Dr. med. B.________ vom 13. Oktober 2020 mit Erläuterungen vom 4. Oktober 2021 kritisiert, ohne indessen näher darzulegen, inwiefern diese willkürlich oder sonstwie rechtsfehlerhaft erfolgt sein soll; lediglich aufzuzeigen, dass eine andere Schlussfolgerung ebenfalls möglich gewesen wäre, reicht nicht aus,</w:t>
      </w:r>
    </w:p>
    <w:p>
      <w:r>
        <w:t>dass daran der vom Beschwerdeführer ins Recht gelegte neue Bericht von Dr. med. B.________ vom 6. Dezember 2021 nichts zu ändern vermag, zumal es sich dabei um ein unzulässiges Novum im Sinne von Art. 99 Abs. 1 BGG handelt,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Staatssekretariat für Wirtschaft (SECO) schriftlich mitgeteilt.</w:t>
      </w:r>
    </w:p>
    <w:p>
      <w:r>
        <w:t>Luzern, 17. Dezember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