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8C_80/2013 vom 17. Januar 2014</w:t>
      </w:r>
    </w:p>
    <w:p>
      <w:r>
        <w:t>Bundesgericht, 2014-01-17, FR</w:t>
      </w:r>
    </w:p>
    <w:p>
      <w:r>
        <w:rPr>
          <w:b/>
        </w:rPr>
        <w:t xml:space="preserve">Quelle: </w:t>
      </w:r>
      <w:r>
        <w:t>https://mcp.opencaselaw.ch/entscheid/bger_8C_80_2013</w:t>
      </w:r>
    </w:p>
    <w:p>
      <w:r>
        <w:t>FR: TF 8C_80/2013 du 17 janvier 2014</w:t>
      </w:r>
    </w:p>
    <w:p>
      <w:r>
        <w:t>IT: TF 8C_80/2013 del 17 gennaio 2014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allouée à l'intimé à partir du 1</w:t>
      </w:r>
    </w:p>
    <w:p>
      <w:r>
        <w:t>er août 2009, singulièrement sur le taux d'abattement qui doit être retenu dans le cas particulier.</w:t>
      </w:r>
    </w:p>
    <w:p>
      <w:r>
        <w:t>La procédure portant sur l'octroi ou le refus de prestations en espèces de l'assurance-accidents, le Tribunal fédéral n'est pas lié par les faits établis par la juridiction cantonale ( art. 105 al. 3 LTF ).</w:t>
      </w:r>
    </w:p>
    <w:p>
      <w:r>
        <w:rPr>
          <w:b/>
        </w:rPr>
        <w:t>E. 3.1</w:t>
      </w:r>
    </w:p>
    <w:p>
      <w:r>
        <w:t>Selon l' art. 18 al. 1 LAA , l'assuré a droit à une rente d'invalidité s'il est invalide ( art. 8 LPGA ) à 10 % au moins par suite d'un accident. Est réputée invalidité l'incapacité de gain totale ou partielle qui est présumée permanente ou de longue durée ( art. 8 al. 1 LPGA ). Aux termes de l' art. 7 al. 1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3.2</w:t>
      </w:r>
    </w:p>
    <w:p>
      <w:r>
        <w:t>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w:t>
      </w:r>
    </w:p>
    <w:p>
      <w:r>
        <w:t>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137 V 71 consid. 5.1 p. 72 s.;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 ATF 126 V 75 consid. 6 p. 81).</w:t>
      </w:r>
    </w:p>
    <w:p>
      <w:r>
        <w:rPr>
          <w:b/>
        </w:rPr>
        <w:t>E. 4.1.1</w:t>
      </w:r>
    </w:p>
    <w:p>
      <w:r>
        <w:t>En l'espèce, la juridiction cantonale a considéré que les critères qui avaient prévalu lors de la fixation du taux d'abattement de 10,5 % retenu par la recourante n'étaient pas pertinents; plutôt que de prendre en considération les circonstances du cas d'espèce, la CNA avait retenu le taux qui lui permettait de parvenir au même revenu d'invalide en se fondant sur les données salariales découlant des données statistiques tirées de l'ESS ou sur les données salariales résultant des descriptions de postes de travail (DPT). Aussi, la juridiction cantonale a-t-elle repris à son compte le taux d'abattement de 15 % retenu par l'OAI dans sa décision du 12 avril 2010, confirmée par ledit tribunal par jugement séparé du 29 novembre 2012.</w:t>
      </w:r>
    </w:p>
    <w:p>
      <w:r>
        <w:rPr>
          <w:b/>
        </w:rPr>
        <w:t>E. 4.1.2</w:t>
      </w:r>
    </w:p>
    <w:p>
      <w:r>
        <w:t>De son côté, la recourante reproche à la juridiction cantonale de s'être alignée sur le taux d'abattement de 15 % retenu par l'OAI. Or, il ressort de la décision du 12 avril 2010 que l'OAI a tenu compte, en sus d'une diminution de rendement de 15 % dans la capacité de travail, d'un taux d'abattement de 15 % en raison de l'ensemble des circonstances, au titre desquelles il a mentionné l'activité légère et les limitations fonctionnelles. La recourante infère de cela que l'abattement opéré par l'OAI tient compte des limitations liées au handicap et elle allègue qu'en reprenant ce taux d'abattement de 15 %, la juridiction cantonale a violé le principe jurisprudentiel selon lequel il n'y a pas lieu d'effectuer encore un abattement en raison du handicap lorsque la diminution de rendement a déjà été prise en compte dans la fixation de l'incapacité de travail.</w:t>
      </w:r>
    </w:p>
    <w:p>
      <w:r>
        <w:t>Au surplus, la recourante allègue que la reprise du taux d'abattement retenu par l'OAI équivaut à une baisse de rendement globale de 29,5 % (25 % + [15 % - 10,5 %]), quand bien même la juridiction cantonale est par ailleurs d'avis que dite baisse ne dépasse pas 25 %.</w:t>
      </w:r>
    </w:p>
    <w:p>
      <w:r>
        <w:rPr>
          <w:b/>
        </w:rPr>
        <w:t>E. 4.1.3</w:t>
      </w:r>
    </w:p>
    <w:p>
      <w:r>
        <w:t>L'intimé fait valoir que, selon la cour cantonale, les critères qui ont prévalu lors de la fixation par la CNA du taux d'abattement de 10,5 % ne permettaient pas de prendre en considération les circonstances du cas d'espèce, de sorte qu'il existait des motifs de s'écarter du taux fixé par la CNA et de s'aligner sur l'appréciation de l'OAI. En outre, l'intéressé est d'avis que la juridiction précédente n'a commis ni excès négatif ni abus de son pouvoir d'appréciation, dès lors que le taux fixé n'excède pas le taux maximum de 25 % admis par la jurisprudence. Par ailleurs, bien qu'elle n'indique pas les "motifs particuliers" qui l'ont déterminée à fixer le taux d'abattement à 15 %, la cour cantonale n'a pas violé son obligation de motivation, dans la mesure où la jurisprudence exige seulement que le juge motive brièvement les raisons qui l'ont amené à accorder une réduction du salaire, en particulier les facteurs dont il a tenu compte dans son appréciation globale.</w:t>
      </w:r>
    </w:p>
    <w:p>
      <w:r>
        <w:rPr>
          <w:b/>
        </w:rPr>
        <w:t>E. 4.2</w:t>
      </w:r>
    </w:p>
    <w:p>
      <w:r>
        <w:t>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w:t>
      </w:r>
    </w:p>
    <w:p>
      <w:r>
        <w:t>En l'occurrence, la juridiction cantonale a considéré que l'assuré était apte à travailler à plein temps, mais avec une diminution de rendement de 25 %, dans une activité légère adaptée à son handicap et elle a réduit le salaire déterminant de 25 %. En sus, elle s'est référé au taux d'abattement de 15 % fixé par l'OAI compte tenu notamment des limitations fonctionnelles de l'intéressé. Ce faisant, elle a fixé l'abattement en se fondant en partie sur un élément qui n'est pas pertinent au regard des règles de droit applicables, comme le fait valoir la recourante. Cependant, la cour cantonale n'indique pas dans quelle mesure les limitations fonctionnelles ont été prises en considération dans le taux global d'abattement de 15 % retenu. De son côté, la recourante n'expose pas en quoi l'augmentation du taux en résultant (4,5 %) ne serait pas globalement justifiée compte tenu de l'ensemble des circonstances personnelles et professionnelles du cas particulier.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 ATF 126 V 75 consid. 5b/bb p. 80; arrêt 9C_751/2011 du 30 avril 2012 consid. 4.2.1). Cela étant, la recourante ne démontre pas en quoi la juridiction cantonale aurait exercé son pouvoir d'appréciation de manière contraire au droit en commettant un excès positif ou négatif de son pouvoir d'appréciation ou en abusant de celui-ci. Le recours se révèle ainsi mal fondé.</w:t>
      </w:r>
    </w:p>
    <w:p>
      <w:r>
        <w:rPr>
          <w:b/>
        </w:rPr>
        <w:t>E. 5</w:t>
      </w:r>
    </w:p>
    <w:p>
      <w:r>
        <w:t>La recourante, qui succombe, supportera les frais judiciaires ( art. 66 al. 1 LTF ). Par ailleurs, l'intimé a droit à une indemnité de dépens à la charge de la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