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8C_809/2023 vom 24. Januar 2024</w:t>
      </w:r>
    </w:p>
    <w:p>
      <w:r>
        <w:t>Bundesgericht, 2024-01-24, DE</w:t>
      </w:r>
    </w:p>
    <w:p>
      <w:r>
        <w:rPr>
          <w:b/>
        </w:rPr>
        <w:t xml:space="preserve">Quelle: </w:t>
      </w:r>
      <w:r>
        <w:t>https://mcp.opencaselaw.ch/entscheid/bger_8C_809_2023</w:t>
      </w:r>
    </w:p>
    <w:p>
      <w:r>
        <w:t>FR: TF 8C_809/2023 du 24 janvier 2024</w:t>
      </w:r>
    </w:p>
    <w:p>
      <w:r>
        <w:t>IT: TF 8C_809/2023 del 24 gennaio 2024</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gesetzliche Fristen sind nicht erstreckbar ( Art. 47 Abs. 1 BGG ). Innert diesen Fristen muss eine den oben aufgezeigten Begründungsanforderungen genügende Beschwerde eingereicht sein. Darauf wurde der Beschwerdeführer mit Schreiben vom 19. Dezember 2023 ausdrücklich hingewiesen.</w:t>
      </w:r>
    </w:p>
    <w:p>
      <w:r>
        <w:rPr>
          <w:b/>
        </w:rPr>
        <w:t>E. 3</w:t>
      </w:r>
    </w:p>
    <w:p>
      <w:r>
        <w:t>Das kantonale Gericht legte in seinem dem Beschwerdeführer gemäss postamtlicher Bescheinigung am 29. November 2023 eröffneten Urteil vom 20. November 2023 in Auseinandersetzung mit den Parteivorbringen und in Würdigung der Akten dar, weshalb die Beschwerdegegnerin ihre bisher erbrachten Leistungen mit Einspracheentscheid vom 26. Mai 2023 per 5. September 2021 einstellen durfte. Danach seien die Beschwerden an Thorax, linker Schulter und linkem Ellenbogen spätestens auf diesen Zeitpunkt hin nicht mehr mit überwiegender Wahrscheinlichkeit natürlich kausal auf das versicherte Ereignis vom 11. Dezember 2020 zurückzuführen.</w:t>
      </w:r>
    </w:p>
    <w:p>
      <w:r>
        <w:rPr>
          <w:b/>
        </w:rPr>
        <w:t>E. 4</w:t>
      </w:r>
    </w:p>
    <w:p>
      <w:r>
        <w:t>Der Beschwerdeführer zeigt in seiner Eingabe vom 16. Dezember 2023 (Poststempel)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Lediglich pauschal auf fortbestehende Schmerzen zu verweisen, reicht nicht aus.</w:t>
      </w:r>
    </w:p>
    <w:p>
      <w:r>
        <w:rPr>
          <w:b/>
        </w:rPr>
        <w:t>E. 5</w:t>
      </w:r>
    </w:p>
    <w:p>
      <w:r>
        <w:t>Da dieser Begründungsmangel offensichtlich ist, führt dies zu einem Nichteintreten auf das Rechtsmittel im vereinfachten Verfahren nach Art. 108 Abs. 1 lit. b BGG . Daran vermag das ausserhalb der gemäss Art. 44 - 48 und Art. 100 Abs. 1 BGG am 15. Januar 2024 abgelaufenen Rechtsmittelfrist eingereichte Schriftstück vom 17. Januar 2024 nichts zu ändern, worin um Gewährung einer Frist zwecks Absprache mit einem möglichen Rechtsvertreter ersucht wird (E. 2 hiervor; siehe auch Urteile 8C_390/2023 vom 16. Juni 2023 E. 3; 8C_381/2023 vom 15. Juni 2023 E. 3 und 8C_362/2023 vom 6. Juni 2923 E. 3; je mit Hinweisen).</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