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8C_806/2023 vom 17. Januar 2024</w:t>
      </w:r>
    </w:p>
    <w:p>
      <w:r>
        <w:t>Bundesgericht, 2024-01-17, FR</w:t>
      </w:r>
    </w:p>
    <w:p>
      <w:r>
        <w:rPr>
          <w:b/>
        </w:rPr>
        <w:t xml:space="preserve">Quelle: </w:t>
      </w:r>
      <w:r>
        <w:t>https://mcp.opencaselaw.ch/entscheid/bger_8C_806_2023</w:t>
      </w:r>
    </w:p>
    <w:p>
      <w:r>
        <w:t>FR: TF 8C_806/2023 du 17 janvier 2024</w:t>
      </w:r>
    </w:p>
    <w:p>
      <w:r>
        <w:t>IT: TF 8C_806/2023 del 17 gennaio 2024</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Dans son arrêt du 14 novembre 2023, la cour cantonale a retenu que l'office AI avait fait droit à la demande de rente du recourant, avec effet rétroactif au 1</w:t>
      </w:r>
    </w:p>
    <w:p>
      <w:r>
        <w:t>er mai 2020. L'intimée avait ainsi, à bon droit, sollicité la compensation des indemnités versées avec le rétroactif que l'office AI reconnaissait devoir au recourant pour la période du 1</w:t>
      </w:r>
    </w:p>
    <w:p>
      <w:r>
        <w:t>er mai 2020 au 11 novembre 2021. Les juges cantonaux ont en outre constaté qu'ils n'étaient pas compétents pour se prononcer sur la responsabilité de l'intimée en lien avec les effets délétères d'une vaccination contre le Covid-19, rendue nécessaire en vue de l'obtention d'un emploi.</w:t>
      </w:r>
    </w:p>
    <w:p>
      <w:r>
        <w:rPr>
          <w:b/>
        </w:rPr>
        <w:t>E. 2.2</w:t>
      </w:r>
    </w:p>
    <w:p>
      <w:r>
        <w:t>Dans son écriture, le recourant se limite à exprimer son désaccord avec la décision de l'intimée, en lui reprochant de ne pas "reconnaître l'accident [qu'il a] subi", et à faire état de ses bonnes qualifications professionnelles. Le recours ne contient toutefois ni conclusion ni critique à l'encontre de la motivation des premiers juges. A cet égard, le recourant n'expose pas, même brièvement, en quoi l'acte attaqué violerait le droit. Le recours ne répond ainsi manifestement pas aux exigences de l' art. 42 al. 1 et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