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8C_806/2015 vom 13. November 2015</w:t>
      </w:r>
    </w:p>
    <w:p>
      <w:r>
        <w:t>Bundesgericht, 2015-11-13, DE</w:t>
      </w:r>
    </w:p>
    <w:p>
      <w:r>
        <w:rPr>
          <w:b/>
        </w:rPr>
        <w:t xml:space="preserve">Quelle: </w:t>
      </w:r>
      <w:r>
        <w:t>https://mcp.opencaselaw.ch/entscheid/bger_8C_806_2015</w:t>
      </w:r>
    </w:p>
    <w:p>
      <w:r>
        <w:t>FR: TF 8C_806/2015 du 13 novembre 2015</w:t>
      </w:r>
    </w:p>
    <w:p>
      <w:r>
        <w:t>IT: TF 8C_806/2015 del 13 novembre 2015</w:t>
      </w:r>
    </w:p>
    <w:p>
      <w:pPr>
        <w:pStyle w:val="Heading2"/>
      </w:pPr>
      <w:r>
        <w:t>Volltext</w:t>
      </w:r>
    </w:p>
    <w:p>
      <w:r>
        <w:t>Bundesgericht</w:t>
      </w:r>
    </w:p>
    <w:p>
      <w:r>
        <w:t>Tribunal fédéral</w:t>
      </w:r>
    </w:p>
    <w:p>
      <w:r>
        <w:t>Tribunale federale</w:t>
      </w:r>
    </w:p>
    <w:p>
      <w:r>
        <w:t>Tribunal federal</w:t>
      </w:r>
    </w:p>
    <w:p>
      <w:r>
        <w:t>8C_806/2015 {T 0/2}</w:t>
      </w:r>
    </w:p>
    <w:p>
      <w:r>
        <w:t>Urteil vom 13. November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IV-Stelle des Kantons St. Gallen,</w:t>
      </w:r>
    </w:p>
    <w:p>
      <w:r>
        <w:t>Brauerstrasse 54, 9016 St. Gallen,</w:t>
      </w:r>
    </w:p>
    <w:p>
      <w:r>
        <w:t>Beschwerdegegnerin.</w:t>
      </w:r>
    </w:p>
    <w:p>
      <w:r>
        <w:t>Gegenstand</w:t>
      </w:r>
    </w:p>
    <w:p>
      <w:r>
        <w:t>Invalidenversicherung (Prozessvoraussetzung),</w:t>
      </w:r>
    </w:p>
    <w:p>
      <w:r>
        <w:t>Beschwerde gegen die Verfügung des Versicherungsgerichts des Kantons St. Gallen vom 30. September 2015.</w:t>
      </w:r>
    </w:p>
    <w:p>
      <w:r>
        <w:t>Nach Einsicht</w:t>
      </w:r>
    </w:p>
    <w:p>
      <w:r>
        <w:t>in die Präsidialverfügung des Versicherungsgerichts des Kantons St. Gallen vom 30. September 2015, mit der das Verfahren betreffend die Verfügung der Beschwerdegegnerin vom 10. August 2015 abgeschrieben wurde, nachdem die IV-Stelle die dort angefochtene Verfügung aufgehoben und gleichzeitig eine neue beschwerdefähige Verfügung in Aussicht gestellt habe,</w:t>
      </w:r>
    </w:p>
    <w:p>
      <w:r>
        <w:t>in die gegen die Präsidialverfügung gerichtete Beschwerde der A.________ vom 30. Oktober 2015 (Poststempel),</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vorliegende Beschwerde vom 30. Oktober 2015 diesen Mindestanforderungen offensichtlich nicht genügt, indem die Versicherte darin keine rechtsgenügend begründeten Rügen gegen die angefochtene Präsidialverfügung vom 30. September 2015 erhebt, in denen sie sich hinreichend mit den entscheidwesentlichen Ausführungen der Vorinstanz auseinandersetzen bzw. darlegen würde, weshalb das kantonale Gericht mit seinen Erwägungen eine Rechtsverletzung gemäss Art. 95 f. BGG begangen resp. - soweit überhaupt beanstandet - den Sachverhalt im Sinne von Art. 97 Abs. 1 BGG qualifiziert unrichtig oder als auf einer Rechtsverletzung beruhend festgestellt haben sollte,</w:t>
      </w:r>
    </w:p>
    <w:p>
      <w:r>
        <w:t>dass deshalb die Eingabe keine hinreichende Begründung enthält und somit kein gültiges Rechtsmittel darstellt, so dass auf die - offensichtlich unzulässige - Beschwerde in Anwendung von Art. 108 Abs. 1 lit. b BGG nicht eingetreten werden kann,</w:t>
      </w:r>
    </w:p>
    <w:p>
      <w:r>
        <w:t>dass bei diesem Ergebnis offen bleiben kann, ob nicht gemäss Art. 39bis Abs. 2 VRP /SG durch einfache Erklärung ein (weiterzugsfähiger) Entscheid des kantonalen Gerichts hätte verlangt werden müssen, weshalb auf die direkt beim Bundesgericht eingereichte Beschwerde auch zufolge fehlender Erschöpfung des innerkantonalen Instanzenzuges bzw. mangels Letztinstanzlichkeit der angefochtenen Verfügung (vgl. Art. 86 Abs. 1 lit. d und Abs. 2 sowie Art. 90 ff. BGG ) nicht eingetreten werden könnte,</w:t>
      </w:r>
    </w:p>
    <w:p>
      <w:r>
        <w:t>dass die Beschwerdeführerin darauf aufmerksam zu machen ist, dass gemäss angefochtener Präsidialverfügung die IV-Stelle eine neue beschwerdefähige Verfügung in Aussicht gestellt hat,</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13.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