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8C_806/2012 vom 12. Februar 2013</w:t>
      </w:r>
    </w:p>
    <w:p>
      <w:r>
        <w:t>Bundesgericht, 2013-02-12, DE</w:t>
      </w:r>
    </w:p>
    <w:p>
      <w:r>
        <w:rPr>
          <w:b/>
        </w:rPr>
        <w:t xml:space="preserve">Quelle: </w:t>
      </w:r>
      <w:r>
        <w:t>https://mcp.opencaselaw.ch/entscheid/bger_8C_806_2012</w:t>
      </w:r>
    </w:p>
    <w:p>
      <w:r>
        <w:t>FR: TF 8C_806/2012 du 12 février 2013</w:t>
      </w:r>
    </w:p>
    <w:p>
      <w:r>
        <w:t>IT: TF 8C_806/2012 del 12 febbraio 2013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Bestimmungen zum Anspruch auf eine Invalidenrente der Unfallversicherung ( Art. 18 Abs. 1 UVG ) sowie zum Begriff der Invalidität ( Art. 8 ATSG ) und zur Ermittlung des Invaliditätsgrades bei Erwerbstätigen nach der allgemeinen Methode des Einkommensvergleichs ( Art. 16 ATSG ) zutreffend dargelegt. Darauf - wie auch auf die Erwägungen zu dem im Sozialversicherungsrecht massgebenden Beweisgrad der überwiegenden Wahrscheinlichkeit ( BGE 119 V 335 E. 1 S. 338; vgl. auch BGE 129 V 177 E. 3.1 S. 181 mit Hinweisen) - wird verwiesen.</w:t>
      </w:r>
    </w:p>
    <w:p>
      <w:r>
        <w:rPr>
          <w:b/>
        </w:rPr>
        <w:t>E. 2.2</w:t>
      </w:r>
    </w:p>
    <w:p>
      <w:r>
        <w:t>Der Bundesrat hat gestützt auf Art. 18 Abs. 2 UVG in Art. 28 Abs. 4 UVV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vgl. BGE 134 V 131 ).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3</w:t>
      </w:r>
    </w:p>
    <w:p>
      <w:r>
        <w:t>Aufgrund der Vorbringen in der Beschwerdeschrift ist einzig noch die zumutbare Arbeitsfähigkeit und - damit verbunden - der bei der Invaliditätsbemessung in den Einkommensvergleich nach Art. 16 ATSG einzusetzende Verdienst zu prüfen, welcher trotz gesundheitlicher Beeinträchtigung zum Zeitpunkt des möglichen Rentenbeginns im Januar 2007 zumutbarerweise noch erzielbar wäre (Invalideneinkommen). Unbeanstandet geblieben ist das von Allianz und Vorinstanz angenommene Valideneinkommen von jährlich Fr. 51'432.-.</w:t>
      </w:r>
    </w:p>
    <w:p>
      <w:r>
        <w:rPr>
          <w:b/>
        </w:rPr>
        <w:t>E. 4.1</w:t>
      </w:r>
    </w:p>
    <w:p>
      <w:r>
        <w:t>Mit dem angefochtenen Entscheid hat die Vorinstanz gestützt auf das Gutachten des Dr. med. C.________ vom 2. Februar 2009 festgestellt, der Beschwerdeführer schöpfe seine verbleibende Restarbeitsfähigkeit mit einer 50%igen Tätigkeit in der von ihm selbst betriebenen Snack-Bar im Rahmen der ärztlichen Zumutbarkeitsbeurteilung nicht voll aus. Sie setzte das hypothetische Invalideneinkommen mittels statistischer Werte (Lohnstrukturerhebung des Bundesamtes für Statistik [LSE] 2008) bei einer 100%igen Erwerbtätigkeit für Männer auf dem untersten Anforderungsniveau 4 fest, und bezifferte dieses auf Fr. 57'672.- .</w:t>
      </w:r>
    </w:p>
    <w:p>
      <w:r>
        <w:rPr>
          <w:b/>
        </w:rPr>
        <w:t>E. 4.2</w:t>
      </w:r>
    </w:p>
    <w:p>
      <w:r>
        <w:t>Der Beschwerdeführer macht geltend, mit der tatsächlich ausgeübten 50%igen Tätigkeit in seiner Snack-Bar schöpfe er seine verbleibenden Möglichkeiten vollständig aus, weshalb er Anspruch auf eine "halbe Invalidenrente" habe.</w:t>
      </w:r>
    </w:p>
    <w:p>
      <w:r>
        <w:rPr>
          <w:b/>
        </w:rPr>
        <w:t>E. 5.1.1</w:t>
      </w:r>
    </w:p>
    <w:p>
      <w:r>
        <w:t>Dr. med. C.________ stellte in seinem Gutachten vom 2. Februar 2009 die Diagnosen einer beginnenden posttraumatischen Arthrose des oberen und des unteren Sprunggelenks rechts, einen klinischen Verdacht auf eine beginnende Coxarthrose rechts bei grösseren Ossifikationen am lateralen Pfannenrand und einen klinischen Verdacht auf eine Bursitis subacromialis links. Nach der von der Allianz und der Vorinstanz übernommenen Auffassung dieses Arztes ist dem Beschwerdeführer als Selbstständigerwerbendem in seiner Snack-Bar eine 50%ige berufliche Aktivität zumutbar. In einer empfohlenen, vorwiegend sitzend auszuführenden Tätigkeit wäre eine 100%ige Arbeitsfähigkeit umsetzbar; wenn möglich, sei zwischendurch der rechte Fuss hochzulagern.</w:t>
      </w:r>
    </w:p>
    <w:p>
      <w:r>
        <w:rPr>
          <w:b/>
        </w:rPr>
        <w:t>E. 5.1.2</w:t>
      </w:r>
    </w:p>
    <w:p>
      <w:r>
        <w:t>Das kantonale Gericht hat richtig erkannt, dass in beweisrechtlicher Hinsicht auf dieses Gutachten abzustellen ist. Hinsichtlich der Diagnosen bestehen keine gegenteiligen ärztlichen Äusserungen. Auch beim Attest der 50%igen Arbeitsfähigkeit als selbstständiger Snack-Bar-Betreiber stimmen die Angaben aller involvierter Ärzte und Begutachter überein. Einzig bezüglich der attestierten Arbeitsfähigkeit in einer den Behinderungen angepassten, vorwiegend sitzend auszuführenden Tätigkeit besteht zwischen der Einschätzung der Gutachter eine Diskrepanz. Während Dr. med. C.________, wie dargelegt, von einer uneingeschränkten Leistungsfähigkeit ausgeht, hält Dr. med. G.________, Spezialarzt FMH für Chirurgie, in seinem Gutachten vom 20. August 2007 und seiner ergänzenden Stellungnahme vom 5. Juni 2008 dafür, auch in einer leidensangepassten Arbeit - die er im Übrigen gleich definiert wie Dr. med. C.________ - bestehe eine Leistungseinschränkung von 20 %. Die Differenz liegt einzig darin, dass Dr. med. G.________ die Zeit, in der das rechte Bein des Beschwerdeführers hochgelagert werden sollte, näher beziffert und von der zumutbaren Arbeitsleistung abzieht, währenddem Dr. med. C.________ damit einzig die Art des zumutbaren Arbeitsplatzes (Möglichkeit, zwischendurch das rechte Bein hochzulagern) näher beschreibt. Damit ist auf letzteren abzustellen. Es ist nicht Sache des die Arbeitsfähigkeit einschätzenden Arztes zu beurteilen, ob mit hochgelagerten Bein gearbeitet werden kann oder nicht, mit andern Worten, ob es aus sozialversicherungsrechtlicher Betrachtungsweise Stellen gibt, die dem von medizinischer Seite festgelegten Zumutbarkeitsprofil entsprechen. Es handelt sich dabei um eine Rechts- und nicht um eine medizinische Tatfrage.</w:t>
      </w:r>
    </w:p>
    <w:p>
      <w:r>
        <w:rPr>
          <w:b/>
        </w:rPr>
        <w:t>E. 5.2</w:t>
      </w:r>
    </w:p>
    <w:p>
      <w:r>
        <w:t>Es wird geltend gemacht, dass die Arbeitsfähigkeit in einer medizinisch zumutbaren Tätigkeit nicht verwertbar sei, da der Beschwerdeführer im fraglichen Zeitpunkt 59 Jahre alt gewesen war und für eine sitzende Arbeit weder Ausbildung noch Erfahrung vorweisen könne. Im weiteren habe die Vorinstanz nicht näher ausgeführt, welche Tätigkeiten genau dem von den Ärzten angegebenen Profil entsprechen würden.</w:t>
      </w:r>
    </w:p>
    <w:p>
      <w:r>
        <w:rPr>
          <w:b/>
        </w:rPr>
        <w:t>E. 5.2.1</w:t>
      </w:r>
    </w:p>
    <w:p>
      <w:r>
        <w:t>Damit stellt der Beschwerdeführer die effektive Verwertbarkeit der Arbeitsfähigkeit in Frage. Diese ist allerdings nicht massgebend, da bei der Invaliditätsbemessung nicht der effektive, sondern der hypothetische ausgeglichene Arbeitsmarkt Referenzpunkt bildet.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 An die Konkretisierung von Arbeitsgelegenheiten (und Verdienstaussichten) sind praxisgemäss nicht übermässige Anforderungen zu stellen. Die bundesgerichtliche Rechtsprechung hat wiederholt darauf hingewiesen, dass körperlich leichte, wechselbelastende und vorwiegend sitzend auszuführende Tätigkeiten auf dem Arbeitsmarkt ( Art. 16 ATSG ; BGE 134 V 64 E. 4.2.1 S. 70 f.; 110 V 273 E. 4b S. 276) durchaus vorhanden sind (SVR 2003 IV Nr. 11 S. 33, I 761/01 E. 2.5). Verwaltung und Vorinstanz waren daher nicht gehalten, die im Einzelnen zumutbaren Verweistätigkeiten näher aufzuzeigen. Als geeignete Verweistätigkeiten bieten sich beispielsweise vorwiegend sitzend ausübbare Kontrolltätigkeiten, Überwachungen oder Telefondienste aller Art an.</w:t>
      </w:r>
    </w:p>
    <w:p>
      <w:r>
        <w:rPr>
          <w:b/>
        </w:rPr>
        <w:t>E. 5.2.2</w:t>
      </w:r>
    </w:p>
    <w:p>
      <w:r>
        <w:t>Darüber hinaus ist das geltend gemachte vorgerückte Alter des Beschwerdeführers bei der Beurteilung der Zumutbarkeit eines Stellenwechsels im Bereiche der Unfallversicherung (im Gegensatz zur Invalidenversicherung, vgl. Urteil 9C_153/2011 vom 22. März 2012 E. 3.1) nicht zu berücksichtigen. Nach der Rechtsprechung findet Art. 28 Abs. 4 (Variante II) UVV auch dann Anwendung, wenn das vorgerückte Alter einer versicherten Person das Zumutbarkeitsprofil - wie vorliegend - nicht zusätzlich beeinflusst, also keine zusätzlichen Einschränkungen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(Urteil 8C_209/2012 vom 12. Juli 2012 E. 5.3 mit Hinweisen).</w:t>
      </w:r>
    </w:p>
    <w:p>
      <w:r>
        <w:rPr>
          <w:b/>
        </w:rPr>
        <w:t>E. 5.3</w:t>
      </w:r>
    </w:p>
    <w:p>
      <w:r>
        <w:t>Bezüglich des der Invaliditätsbemessung hypothetisch zu Grunde gelegten Invalideneinkommens von Fr. 57'672.- enthält die Beschwerde keine Einwände. Auch wenn von diesem Betrag ein Abzug für vermehrte Pausen im Bereiche von 15 % vorgenommen würde, resultierte ein Invaliditätsgrad von lediglich 4,7 % (Fr. 51'432.- minus [57'672 x 0.85] 49'021.- = 2'411.- x 100 : 51'432.-), womit der Beschwerdeführer keinen Anspruch auf eine Invalidenrente der Unfallversicherung hat.</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