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8C_806/2008 vom 5. Januar 2009</w:t>
      </w:r>
    </w:p>
    <w:p>
      <w:r>
        <w:t>Bundesgericht, 2009-01-05, DE</w:t>
      </w:r>
    </w:p>
    <w:p>
      <w:r>
        <w:rPr>
          <w:b/>
        </w:rPr>
        <w:t xml:space="preserve">Quelle: </w:t>
      </w:r>
      <w:r>
        <w:t>https://mcp.opencaselaw.ch/entscheid/bger_8C_806_2008</w:t>
      </w:r>
    </w:p>
    <w:p>
      <w:r>
        <w:t>FR: TF 8C_806/2008 du 5 janvier 2009</w:t>
      </w:r>
    </w:p>
    <w:p>
      <w:r>
        <w:t>IT: TF 8C_806/2008 del 5 gennaio 2009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die Leistungspflicht der SUVA betreffend der am 2. September 2007 gemeldeten Rückenschmerzen. Dabei hat die Unfallversicherung nur dann Leistungen zu erbringen, wenn der geklagte Schaden Folge eines Unfalles oder einer Berufskrankheit ist ( Art. 6 UVG [SR 832.20]; vgl. auch Art. 11 UVV [SR 832.202]).</w:t>
      </w:r>
    </w:p>
    <w:p>
      <w:r>
        <w:rPr>
          <w:b/>
        </w:rPr>
        <w:t>E. 3</w:t>
      </w:r>
    </w:p>
    <w:p>
      <w:r>
        <w:t>Das kantonale Gericht hat in umfassender Würdigung der gesamten medizinischen Akten festgestellt, dass die geklagten Rückenbeschwerden nicht überwiegend wahrscheinlich Folge des Sturzes vom 11. Januar 2005 sind. Was die Beschwerdeführerin dagegen vorbringt, vermag keine Zweifel an der Richtigkeit dieser Feststellung zu begründen: Aus den Akten geht hervor, dass die Versicherte schon zwei Jahre vor dem Ereignis, im Dezember 2002, aufgrund ihres Rückenleidens in der Rehabilitationsklinik V._________ weilte. Sowohl der behandelnde Arzt, Dr. med. C.________ (Bericht vom 12. April 2005), als auch die medizinischen Fachpersonen der Ergonometrieabteilung der Klinik V.________ (Bericht vom 9. Juni 2005) gingen von einer Exazerbation des vorbestehenden Rückenleidens bei bekannten Diskopathien aus. Wird bei vorbestehenden Diskushernien ein Beschwerdeschub aktiviert, so hat die Unfallversicherung lediglich Leistungen für das unmittelbar im Zusammenhang mit dem Unfall stehende Schmerzsyndrom zu erbringen (RKUV 2000 Nr. U 378 S. 191 U 149/99), da einzig dieses als natürlich kausal durch den Unfall verursacht betrachtet werden kann. Somit besteht vorliegend kein überwiegend wahrscheinlicher Kausalzusammenhang zwischen den im September 2007 als Rückfall gemeldeten Rückenbeschwerden und dem Unfallereignis vom 11. Januar 2005. Die Vorinstanz durfte in zulässiger antizipierter Beweiswürdigung ( BGE 130 II 425 E. 2.1 S. 428) auf weitere Abklärungen verzichten, zumal praxisgemäss eine traumatische Verschlimmerung eines klinisch stummen degenerativen Vorzustandes an der Wirbelsäule in der Regel nach sechs bis neun Monaten, spätestens aber nach einem Jahr als abgeschlossen zu betrachten ist (Urteil 8C_508/2008 vom 22. Oktober 2008 E. 4.2 mit weiteren Hinweisen). Da sich auch aus dem von der Beschwerdeführerin letztinstanzlich aufgelegten Schreiben des Dr. med. F.________ vom 28. August 2008 nichts Abweichendes ergibt, kann offenbleiben, ob dieser Bericht mit Blick auf Art. 99 Abs. 1 BGG ein zulässiges Beweismittel darstellt. Vorinstanz und Verwaltung haben eine Leistungspflicht der SUVA betreffend die im September 2007 gemeldeten Rückenbeschwerden zu Recht verneint.</w:t>
      </w:r>
    </w:p>
    <w:p>
      <w:r>
        <w:rPr>
          <w:b/>
        </w:rPr>
        <w:t>E. 4</w:t>
      </w:r>
    </w:p>
    <w:p>
      <w:r>
        <w:t>Da die Beschwerde offensichtlich unbegründet ist, wird sie im Verfahren nach Art. 109 Abs. 2 lit. a BGG erledigt. Bei diesem Verfahrensausgang sind die Gerichtskosten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