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805/2015 vom 10. Juni 2016</w:t>
      </w:r>
    </w:p>
    <w:p>
      <w:r>
        <w:t>Bundesgericht, 2016-06-10, IT</w:t>
      </w:r>
    </w:p>
    <w:p>
      <w:r>
        <w:rPr>
          <w:b/>
        </w:rPr>
        <w:t xml:space="preserve">Quelle: </w:t>
      </w:r>
      <w:r>
        <w:t>https://mcp.opencaselaw.ch/entscheid/bger_8C_805_2015</w:t>
      </w:r>
    </w:p>
    <w:p>
      <w:r>
        <w:t>FR: TF 8C 805/2015 du 10 juin 2016</w:t>
      </w:r>
    </w:p>
    <w:p>
      <w:r>
        <w:t>IT: TF 8C 805/2015 del 10 giugno 2016</w:t>
      </w:r>
    </w:p>
    <w:p>
      <w:pPr>
        <w:pStyle w:val="Heading2"/>
      </w:pPr>
      <w:r>
        <w:t>Regeste</w:t>
      </w:r>
    </w:p>
    <w:p>
      <w:r>
        <w:t>Assicurazione contro gli infortuni (rendita di invalidità) | Assicurazione contro gli infortuni</w:t>
      </w:r>
    </w:p>
    <w:p>
      <w:pPr>
        <w:pStyle w:val="Heading2"/>
      </w:pPr>
      <w:r>
        <w:t>Erwägungen</w:t>
      </w:r>
    </w:p>
    <w:p>
      <w:r>
        <w:rPr>
          <w:b/>
        </w:rPr>
        <w:t>E. 1</w:t>
      </w:r>
    </w:p>
    <w:p>
      <w:r>
        <w:t>Il ricorso in materia di diritto pubblico può essere presentato per violazione del diritto ( art. 95 e 96 LTF ). Se il ricorso riguarda, come in concreto, una decisione d'assegnazione o di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Il ricorrente precisa che il suo ricorso verte unicamente su quattro punti. Tuttavia l'oggetto della lite si circoscrive alle contestazioni dell'assicurato sulla stabilizzazione del proprio casoe sull'apprezzamento dei pareri medici divergenti.</w:t>
      </w:r>
    </w:p>
    <w:p>
      <w:r>
        <w:rPr>
          <w:b/>
        </w:rPr>
        <w:t>E. 3</w:t>
      </w:r>
    </w:p>
    <w:p>
      <w:r>
        <w:t>Nella misura in cui il ricorrente fonda il suo ragionamento su fatti nuovi, posteriori all'emanazione del giudizio impugnato, il suo ricorso è volto all'insuccesso. Il ricorrente del resto non spiega perché sarebbero adempiute le condizioni eccezionali per ammettere nuove prove ( art. 99 cpv. 1 LTF ; DTF 133 III 393 consid. 3 pag. 395).</w:t>
      </w:r>
    </w:p>
    <w:p>
      <w:r>
        <w:rPr>
          <w:b/>
        </w:rPr>
        <w:t>E. 4.1</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perizia medica esterna (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rPr>
          <w:b/>
        </w:rPr>
        <w:t>E. 4.2</w:t>
      </w:r>
    </w:p>
    <w:p>
      <w:r>
        <w:t>A torto il ricorrente insiste nel concludere che il Tribunale delle assicurazioni non si sia confrontato con le risultanze mediche, in modo particolare con le valutazioni espresse dal Prof. med. B.________, specialista in chirurgia ortopedica e traumatologia. La Corte cantonale, attenendosi alle regole di valenza probante dei rapporti medici (consid. 4.1), si è chinata anche sugli accertamenti di quest'ultimo specialista, ma li ha scartati siccome non si pretendeva di migliorare la capacità di guadagno dell'assicurato, eseguendo l'operazione consigliata, aspetto messo anche in risalto nel rapporto del 23 dicembre 2014 dal Dr. med. C.________, specialista in neurologia, e nemmeno evocato nel ricorso. In maniera altresì erronea (cfr. ancora consid. 4.1), il ricorrente pretende che le valutazioni del medico di circondario sarebbero inattendibili unicamente a causa del rapporto di lavoro fra medico e assicuratore. In tale evenienza non era quindi necessario ordinare una perizia pluridisciplinare. Per il resto si può rinviare al diffuso esame operato dai giudici cantonali ( art. 109 cpv. 3 LTF ).</w:t>
      </w:r>
    </w:p>
    <w:p>
      <w:r>
        <w:rPr>
          <w:b/>
        </w:rPr>
        <w:t>E. 5</w:t>
      </w:r>
    </w:p>
    <w:p>
      <w:r>
        <w:t>Ne segue che il ricorso, manifestamente infondato, deve essere respinto secondo la procedura semplificata dell' art. 109 cpv. 1 lett. a LTF . A fronte di tale esito, non vi sono ragioni per riconsiderare il decreto del 16 dicembre 2015, come implicitamente postulato dal ricorrente, poiché l'indigenza non è a sé stante sufficiente per la concessione dell'assistenza giudiziaria (cfr. art. 64 cpv. 1 LTF ). Le spese giudiziarie seguono pertanto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