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8C_804/2009 vom 19. Februar 2010</w:t>
      </w:r>
    </w:p>
    <w:p>
      <w:r>
        <w:t>Bundesgericht, 2010-02-19, DE</w:t>
      </w:r>
    </w:p>
    <w:p>
      <w:r>
        <w:rPr>
          <w:b/>
        </w:rPr>
        <w:t xml:space="preserve">Quelle: </w:t>
      </w:r>
      <w:r>
        <w:t>https://mcp.opencaselaw.ch/entscheid/bger_8C_804_2009</w:t>
      </w:r>
    </w:p>
    <w:p>
      <w:r>
        <w:t>FR: TF 8C_804/2009 du 19 février 2010</w:t>
      </w:r>
    </w:p>
    <w:p>
      <w:r>
        <w:t>IT: TF 8C_804/2009 del 19 febbraio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Die Beweiswürdigung durch das kantonale Gericht verletzt namentlich dann Bundesrecht, wenn es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9C_689/2008 vom 25. Februar 2009 E. 3.1 und 9C_1025/2008 vom 19. Januar 2009 E. 4.1).</w:t>
      </w:r>
    </w:p>
    <w:p>
      <w:r>
        <w:rPr>
          <w:b/>
        </w:rPr>
        <w:t>E. 2.1</w:t>
      </w:r>
    </w:p>
    <w:p>
      <w:r>
        <w:t>Inhalt und Tragweite von Art. 30 Abs. 1 lit. a AVIG und Art. 44 Abs. 1 lit. a AVIV sind im kantonalen Entscheid zutreffend dargelegt worden. Dasselbe gilt hinsichtlich der verschuldensabhängigen Einstellungsdauer (vgl. Art. 30 Abs. 3 Satz 3 AVIG in Verbindung mit Art. 45 Abs. 2 lit. b AVIV ). Das kantonale Gericht hat insbesondere zutreffend erwogen, dass in Nachachtung von Art. 20 lit. b des Übereinkommens Nr. 168 über Beschäftigungsförderung und den Schutz gegen Arbeitslosigkeit vom 21. Juni 1988 (SR 0.822.726.8) eine Einstellung in der Anspruchsberechtigung wegen selbstverschuldeter Arbeitslosigkeit nur bei Vorsatz der versicherten Person zulässig ist (vgl. auch BGE 124 V 234 E. 3a S. 236). Auch im Anwendungsbereich dieses Übereinkommens ist Vorsatz bereits dann im Sinne eines Eventualvorsatzes zu bejahen, wenn der Arbeitnehmer wissen konnte und musste, dass er durch sein Verhalten womöglich eine Kündigung bewirkt, und er eine solche in Kauf nimmt (Urteil C 282/00 vom 11. Januar 2001 E. 2b; vgl. auch Thomas Nussbaumer, Arbeitslosenversicherung, in: Schweizerisches Bundesverwaltungsrecht [SBVR], Soziale Sicherheit, 2. Aufl., Basel 2007, Rz. 831 S. 2427).</w:t>
      </w:r>
    </w:p>
    <w:p>
      <w:r>
        <w:rPr>
          <w:b/>
        </w:rPr>
        <w:t>E. 2.2</w:t>
      </w:r>
    </w:p>
    <w:p>
      <w:r>
        <w:t>Streitig und zu prüfen ist, ob die Vorinstanz Bundesrecht verletzte, indem sie den Beschwerdeführer für 10 Tage in der Anspruchsberechtigung einstellte, weil er durch sein Verhalten Anlass zur Auflösung des Arbeitsverhältnisses gegeben habe und die Arbeitslosigkeit somit selbstverschuldet sei.</w:t>
      </w:r>
    </w:p>
    <w:p>
      <w:r>
        <w:rPr>
          <w:b/>
        </w:rPr>
        <w:t>E. 3.1</w:t>
      </w:r>
    </w:p>
    <w:p>
      <w:r>
        <w:t>Das kantonale Gericht hat in Würdigung der gesamten Akten für das Bundesgericht grundsätzlich verbindlich festgestellt, dass der Versicherte durch sein Verhalten und seine Äusserungen am Arbeitsplatz seine Mitarbeiter und Vorgesetzen beunruhigte und er damit den Grund für den Verlust der Arbeitsstelle gesetzt hat. Was der Beschwerdeführer gegen diese Feststellung vorbringt, vermag sie nicht als offensichtlich unrichtig erscheinen zu lassen.</w:t>
      </w:r>
    </w:p>
    <w:p>
      <w:r>
        <w:rPr>
          <w:b/>
        </w:rPr>
        <w:t>E. 3.2</w:t>
      </w:r>
    </w:p>
    <w:p>
      <w:r>
        <w:t>Im vorinstanzlichen Entscheid finden sich keine Erwägungen dazu, inwiefern der Versicherte vorsätzlich auf den Verlust der Arbeitsstelle hingewirkt hat.</w:t>
      </w:r>
    </w:p>
    <w:p>
      <w:r>
        <w:rPr>
          <w:b/>
        </w:rPr>
        <w:t>E. 3.2.1</w:t>
      </w:r>
    </w:p>
    <w:p>
      <w:r>
        <w:t>Der Beschwerdeführer hat gegen seine Entlassung aus dem öffentlichen Dienst stets opponiert und diese bis vor Bundesgericht angefochten (vgl. Urteil 1C_560/2008 vom 6. April 2009). Auf Grund seines Verhaltens kann ein direkter Vorsatz, eine Kündigung des Arbeitsverhältnisses durch den Arbeitgeber - etwa um Leistungen der Arbeitslosenversicherung erwirken zu können - zu provozieren, ausgeschlossen werden.</w:t>
      </w:r>
    </w:p>
    <w:p>
      <w:r>
        <w:rPr>
          <w:b/>
        </w:rPr>
        <w:t>E. 3.2.2</w:t>
      </w:r>
    </w:p>
    <w:p>
      <w:r>
        <w:t>Fraglich ist, ob der Versicherte im Sinne eines Eventualvorsatzes wissen konnte und musste, dass er durch sein Verhalten womöglich eine Kündigung bewirkt, und er eine solche in Kauf genommen hat. Rechtsprechungsgemäss handelt eventualvorsätzlich, wer den Eintritt des als möglich erkannten Erfolgs ernstnimmt, mit ihm rechnet und sich mit ihm abfindet, wobei ein Eventualvorsatz nur mit Zurückhaltung anzunehmen ist (vgl. Urteil 8C_504/2007 vom 16. Juni 2008 E. 5.3.2 mit Hinweisen auf die strafrechtliche Lehre und Rechtsprechung). Wie die Vorinstanz verbindlich festgestellt hat, legte der Versicherte ein Verhalten an den Tag, bei dem eine vernünftig handelnde Person damit rechnen musste, dass es die Fortdauer des Arbeitsverhältnisses gefährden konnte. Keine Feststellung hat die Vorinstanz zur Frage getroffen, ob der Beschwerdeführer noch in der Lage war, sich über sein Verhalten ausreichend Rechenschaft zu geben. Der Beschwerdeführer wurde noch am selben Tag, an dem er seine Mitarbeiter und seinen Vorgesetzten ernsthaft beunruhigte, im Rahmen einer Fürsorgerischen Freiheitsentziehung in die Psychiatrische Klinik Y.________ eingewiesen. Somit darf nicht ohne weitere Abklärungen von der Urteilsfähigkeit des Versicherten ausgegangen werden. Die Beschwerde ist demnach gutzuheissen, Einsprache- und kantonaler Gerichtsentscheid sind aufzuheben und die Sache ist an die AlK Unia zurückzuweisen, damit sie die Urteilsfähigkeit des Beschwerdeführers zum Zeitpunkt des vorgeworfenen Verhaltens abkläre und hernach über die Einstellung neu entscheide. Stellt sich bei diesen Abklärungen heraus, dass der Versicherte die Gefahr einer Kündigung nicht mehr erkennen, mit ihr rechnen und sich mit ihr abfinden konnte, so entfiele die Grundlage für die Annahme eines Eventualvorsatzes und damit auch der Einstellungsgrund.</w:t>
      </w:r>
    </w:p>
    <w:p>
      <w:r>
        <w:rPr>
          <w:b/>
        </w:rPr>
        <w:t>E. 4</w:t>
      </w:r>
    </w:p>
    <w:p>
      <w:r>
        <w:t>Das Verfahren ist kostenpflichtig ( Art. 65 BGG ). Als unterliegende Partei hat die Beschwerdegegnerin die Gerichtskosten zu tragen ( Art. 66 Abs. 1 BGG ; BGE 133 V 642 E. 5). Damit wird das Gesuch um unentgeltliche Prozessführung des anwaltlich nicht vertretenen Beschwerdeführers gegenstandslos. Bei diesem Verfahrensausgang erübrigt sich eine mündliche Einvernahme des Beschwerdeführers.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