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8C_802/2017 vom 21. Februar 2018</w:t>
      </w:r>
    </w:p>
    <w:p>
      <w:r>
        <w:t>Bundesgericht, 2018-02-21, DE</w:t>
      </w:r>
    </w:p>
    <w:p>
      <w:r>
        <w:rPr>
          <w:b/>
        </w:rPr>
        <w:t xml:space="preserve">Quelle: </w:t>
      </w:r>
      <w:r>
        <w:t>https://mcp.opencaselaw.ch/entscheid/bger_8C_802_2017</w:t>
      </w:r>
    </w:p>
    <w:p>
      <w:r>
        <w:t>FR: TF 8C_802/2017 du 21 février 2018</w:t>
      </w:r>
    </w:p>
    <w:p>
      <w:r>
        <w:t>IT: TF 8C_802/2017 del 21 febbraio 2018</w:t>
      </w:r>
    </w:p>
    <w:p>
      <w:pPr>
        <w:pStyle w:val="Heading2"/>
      </w:pPr>
      <w:r>
        <w:t>Erwägungen</w:t>
      </w:r>
    </w:p>
    <w:p>
      <w:r>
        <w:rPr>
          <w:b/>
        </w:rPr>
        <w:t>E. 1</w:t>
      </w:r>
    </w:p>
    <w:p>
      <w:r>
        <w:t>Die Beschwerde an das Bundesgericht ist grundsätzlich ein reformatorisches Rechtsmittel ( Art. 107 Abs. 2 BGG ), weshalb sie einen Antrag in der Sache (vgl. Art. 42 Abs. 1 BGG ) enthalten muss. Das Ersuchen um einen Rückweisungsentscheid reicht ausnahmsweise aus, wenn das Bundesgericht im Falle der Gutheissung in der Sache nicht selbst entscheiden könnte, wobei die Beschwerdebegründung zur Interpretation des Rechtsbegehrens beigezogen werden kann ( BGE 136 V 131 E. 1.2 S. 135 mit Hinweis; Urteile 8C_314/2017 vom 5. Juli 2017 E. 1 und 8C_673/2016 vom 10. Januar 2017 E. 1; ferner Meyer/Dormann in: Basler Kommentar, Bundesgerichtsgesetz, 2. Aufl. 2011, N. 2a und 7 zu Art. 107 BGG ). Dass der Beschwerdeführer vorliegend kein Rechtsbegehren in der Sache stellt, schadet nicht. Denn aus seiner Begründung ergibt sich, dass die beantragte Rückweisung der Sache an die Beschwerdegegnerin bezweckt, den als nicht rechtsgenüglich abgeklärt gerügten Sachverhalt durch zusätzliche medizinische oder berufliche Abklärungen zu ergänzen, gestützt darauf den Invaliditätsgrad zu ermitteln und über den Leistungsanspruch neu zu verfügen. Auf die Beschwerde ist daher einzutreten.</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8C_734/2016 vom 12. Juli 2017 E. 1.2; 9C_275/2016 vom 19. August 2016 E. 1.2 mit Hinweisen).</w:t>
      </w:r>
    </w:p>
    <w:p>
      <w:r>
        <w:rPr>
          <w:b/>
        </w:rPr>
        <w:t>E. 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2.1). Die konkrete Beweiswürdigung stellt ebenfalls eine Tatfrage dar. Dagegen ist die Beachtung des Untersuchungsgrundsatzes und der Beweiswürdigungsregeln ( BGE 132 V 393 E. 3.2 und 4 S. 397 ff.; Urteil I 865/06 vom 12. Oktober 2007 E. 4 mit Hinweisen) wie auch die Frage nach der rechtlichen Relevanz einer attestierten Arbeitsunfähigkeit ( BGE 140 V 193 ) frei überprüfbare Rechtsfrage.</w:t>
      </w:r>
    </w:p>
    <w:p>
      <w:r>
        <w:rPr>
          <w:b/>
        </w:rPr>
        <w:t>E. 4</w:t>
      </w:r>
    </w:p>
    <w:p>
      <w:r>
        <w:t>Die Vorinstanz mass nach einlässlicher Beweiswürdigung dem polydisziplinären Gutachten der MEDAS vom 24. Februar 2016 und dem neurologisch-psychiatrischen Gutachten der Dres. med. B.________ und C.________ vom 24. September 2016 in Bezug auf den medizinischen Sachverhalt Beweiskraft bei. In Abweichung von der im bidisziplinären Gutachten psychiatrisch begründeten Einschränkung der Arbeitsfähigkeit von 20 % stellte sie fest, es sei das aus orthopädischer Sicht formulierte Zumutbarkeitsprofil anzunehmen, ansonsten bestehe aber eine uneingeschränkte Arbeitsfähigkeit. Bei einem ermittelten Invaliditätsgrad von 12 % verneinte sie einen Rentenanspruch.</w:t>
      </w:r>
    </w:p>
    <w:p>
      <w:r>
        <w:rPr>
          <w:b/>
        </w:rPr>
        <w:t>E. 5.1.1</w:t>
      </w:r>
    </w:p>
    <w:p>
      <w:r>
        <w:t>Der Beschwerdeführer wendet dagegen ein, die Vorinstanz habe dem psychiatrischen Gutachten des Dr. med. C.________ zu Unrecht Beweiswert zuerkannt, da sich dieser nicht mit sämtlichen aktenkundigen Berichten auseinandergesetzt habe. Diese Vorbringen sind nicht stichhaltig, zumal er nicht weiter ausführt, welche Vorakten der Experte in seine Beurteilung hätte einbeziehen müssen. Den Darlegungen des Dr. med. C.________ kann vielmehr entnommen werden, dass er sich in der Expertise unter Ziffer 10 "Beurteilung und Differenzialdiagnose" namentlich mit dem psychiatrischen Vorgutachten der MEDAS sowie mit den Berichten des dannzumal behandelnden Psychiaters Dr. med. D.________ ausführlich auseinandersetzte. Er legte schlüssig dar, weshalb er die anamnestisch rezidivierenden depressiven Episoden (ICD-10 F33.4) als zurzeit remittiert erachtete, in Einklang mit Dr. med. D.________ aber eine andauernde Persönlichkeitsänderung bei chronischem Schmerzsyndrom (ICD-10 F62.8) bejahte. Er diagnostizierte zudem - anders als der psychiatrische Sachverständige im Gutachten der MEDAS - eine somatoforme Schmerzstörung und wies auf die negative Wechselwirkung zwischen der Persönlichkeitsänderung und der anhaltenden somatoformen Schmerzstörung mit somatischen und psychischen Anteilen (ICD-10 F45.4) hin; die Symptomatik stufte er allerdings als leicht ein. Sodann bezog der Gutachter ebenfalls den Bericht der Genossenschaft E.________ vom 16. Mai 2013 in seine Beurteilung mit ein, wobei er diesen für die medizinische Einschätzung der Arbeitsfähigkeit nicht als massgeblich ansah. Entgegen dem Einwand des Beschwerdeführers schloss die Vorinstanz in nicht zu beanstandender Weise diesbezüglich, die Erkenntnisse aus dem Arbeitstraining änderten an der gutachtlichen Zumutbarkeitsbeurteilung nichts. Denn nach der Rechtsprechung ist die Frage nach den noch zumutbaren Tätigkeiten und Arbeitsleistungen nach Massgabe der objektiv feststellbaren Gesundheitsschädigung in erster Linie durch die Ärzte und nicht durch die Eingliederungsfachleute auf der Grundlage der von ihnen erhobenen, subjektiven Arbeitsleistung zu beantworten (Urteile 9C_396/2014 vom 15. April 2015 E. 5.4 und 9C_401/2014 vom 26. November 2014 E. 4.2.2; je mit Hinweis). Nach dem Gesagten ist eine willkürliche vorinstanzliche Beweiswürdigung nicht auszumachen, wenn das kantonale Gericht dem psychiatrischen Gutachten des Dr. med. C.________ in medizinischer Hinsicht folgte.</w:t>
      </w:r>
    </w:p>
    <w:p>
      <w:r>
        <w:rPr>
          <w:b/>
        </w:rPr>
        <w:t>E. 5.1.2</w:t>
      </w:r>
    </w:p>
    <w:p>
      <w:r>
        <w:t>In Bezug auf die verbleibende Leistungsfähigkeit erachtete Dr. med. C.________ wegen der Persönlichkeitsänderung mit mehr Pausenbedarf und einer verlängerten Erholungszeit die Arbeitsfähigkeit um 20 % eingeschränkt. Der Experte verfügt bei der Festsetzung der Arbeitsunfähigkeit ( Art. 6 ATSG ) über einen naturgemässen Ermessensspielraum. Dr. med. C.________ gab seine Einschätzung in Kenntnis der gesamten Aktenlage und nach gut dokumentierter eingehender Erhebung eigener Befunde unter Hinweis auf die funktionelle Beeinträchtigung, die leicht verminderten innerpsychischen Ressourcen aufgrund eines starren Bewältigungsschemas und die etwas vermindert guten sozialen Ressourcen ab. Wenn er unter Ziffer 7 "Ressourcen" eine gänzlich emotionale Stabilität festhielt, handelt es sich, wie sich aus dem Kontext des gesamten psychiatrischen Gutachtens ohne Weiteres ergibt, um einen Verschrieb. Richtig sollte es heissen "Seine emotionale Stabilität ist nicht gänzlich gegeben". Die Beweiskraft der Expertise wird dadurch nicht geschmälert. Entgegen der Behauptung des Beschwerdeführers kann somit in medizinischer Hinsicht nicht von einer höchst beliebigen gutachterlichen Annahme einer 20 %-igen Arbeitsfähigkeit die Rede sein. Ob vorliegend die diagnostizierte Persönlichkeitsänderung eine solche Annahme aus rechtlicher Sicht nicht zulässt, wovon die Vorinstanz ausging, kann, auch wenn nunmehr sämtliche psychischen Leiden einem strukturieren Beweisverfahren nach BGE 141 V 281 zu unterziehen sind (Urteil 8C_130/2017 vom 30. November 2017, zur Publikation bestimmt), offen gelassen werden. Denn auch in Abweichung von der vorinstanzlichen Annahme einer mit Blick auf die gestellten Diagnosen fehlenden invalidisierenden Gesundheitsschädigung, würde sich eine - anhand der medizinischen Gutachten maximal anzunehmende 20 %-ige Arbeitsunfähigkeit in einer leidensadaptierten Tätigkeit - jedenfalls nicht rentenbegründend auswirken:</w:t>
      </w:r>
    </w:p>
    <w:p>
      <w:r>
        <w:rPr>
          <w:b/>
        </w:rPr>
        <w:t>E. 5.2</w:t>
      </w:r>
    </w:p>
    <w:p>
      <w:r>
        <w:t>Zur Invaliditätsbemessung des kantonalen Gerichts, insbesondere zur Festsetzung von Validen- und Invalideneinkommen, äussert sich der Beschwerdeführer nicht. Bei einem Einkommen als Gesunder von jährlich Fr. 66'924.- und dem vorinstanzlich bei einer vollständigen Arbeitsfähigkeit in einer leidensadaptierten Tätigkeit angenommenen hypothetischen Einkommen als Invalider von Fr. 65'177.10, resultierte bei einer 80 %-igen Arbeitsfähigkeit und einem behinderungsbedingten Abzug von 10 % ein Verdienst von Fr. 46'927.50. In Gegenüberstellung beider Vergleichseinkommen würde sich ein rentenausschliessender Invaliditätsgrad von gerundet 30 % ergeben.</w:t>
      </w:r>
    </w:p>
    <w:p>
      <w:r>
        <w:rPr>
          <w:b/>
        </w:rPr>
        <w:t>E. 5.3</w:t>
      </w:r>
    </w:p>
    <w:p>
      <w:r>
        <w:t>Bei diesem Ergebnis besteht kein Anlass zur beantragten Rückweisung. Das kantonale Gericht hat zu Recht einen Rentenanspruch verneint. Die Beschwerde ist unbegründet.</w:t>
      </w:r>
    </w:p>
    <w:p>
      <w:r>
        <w:rPr>
          <w:b/>
        </w:rPr>
        <w:t>E. 6</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