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800/2015 vom 7. Juli 2016</w:t>
      </w:r>
    </w:p>
    <w:p>
      <w:r>
        <w:t>Bundesgericht, 2016-07-07, FR</w:t>
      </w:r>
    </w:p>
    <w:p>
      <w:r>
        <w:rPr>
          <w:b/>
        </w:rPr>
        <w:t xml:space="preserve">Quelle: </w:t>
      </w:r>
      <w:r>
        <w:t>https://mcp.opencaselaw.ch/entscheid/bger_8C_800_2015</w:t>
      </w:r>
    </w:p>
    <w:p>
      <w:r>
        <w:t>FR: TF 8C 800/2015 du 7 juillet 2016</w:t>
      </w:r>
    </w:p>
    <w:p>
      <w:r>
        <w:t>IT: TF 8C 800/2015 del 7 luglio 2016</w:t>
      </w:r>
    </w:p>
    <w:p>
      <w:pPr>
        <w:pStyle w:val="Heading2"/>
      </w:pPr>
      <w:r>
        <w:t>Regeste</w:t>
      </w:r>
    </w:p>
    <w:p>
      <w:r>
        <w:t>Assurance-accidents (taux d'abattement) | Assurance-accidents</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Le recours porte sur le taux de la rente d'invalidité de l'assurance-accidents à laquelle a droit l'intimé depuis le 1 er décembre 2008. Le taux de l'indemnité pour atteinte à l'intégrité n'est en revanche pas contesté par la recourante.</w:t>
      </w:r>
    </w:p>
    <w:p>
      <w:r>
        <w:rPr>
          <w:b/>
        </w:rPr>
        <w:t>E. 2.2</w:t>
      </w:r>
    </w:p>
    <w:p>
      <w:r>
        <w:t>La procédure portant sur l'octroi ou le refus de prestations en espèces de l'assurance-accidents, le Tribunal fédéral n'est pas lié par les faits établis par la juridiction cantonale ( art. 105 al. 3 LTF ).</w:t>
      </w:r>
    </w:p>
    <w:p>
      <w:r>
        <w:rPr>
          <w:b/>
        </w:rPr>
        <w:t>E. 3.1</w:t>
      </w:r>
    </w:p>
    <w:p>
      <w:r>
        <w:t>La juridiction cantonale a constaté que l'intimé disposait d'une capacité de travail de 100 % dans une activité adaptée à ses limitations fonctionnelles, à savoir une activité exercée uniquement en position assise, sans port de charges, ni déplacement, et permettant d'allonger la jambe droite. S'écartant des descriptions des postes de travail (DPT) sur lesquelles s'était fondée la CNA pour calculer le revenu d'invalide, la juridiction cantonale s'est référée aux statistiques salariales issues de l'Enquête suisse sur la structure des salaires (ESS), en partant du salaire auquel pouvaient prétendre les hommes effectuant des activités simples et répétitives (niveau de qualification 4) dans le secteur privé, soit, en 2008, 4'806 fr. par mois (ESS 2008, TA1, p. 26). Comme les salaires bruts standardisés tenaient compte d'un horaire de travail de quarante heures, soit une durée hebdomadaire inférieure à la moyenne usuelle dans les entreprises en 2008 (41,6 heures; La Vie économique, 3-2012, p. 94), ce montant devait être porté à 4'998 fr. 24 par mois. Les premiers juges ont encore procédé à un abattement de 20 % sur le revenu d'invalide en raison des importantes limitations fonctionnelles de l'assuré, lequel se déplaçait avec des cannes anglaises, devait impérativement travailler en position assise, avec la jambe droite allongée et ne pouvait transporter aucune charge, même minime. Le revenu d'invalide ainsi obtenu était de 3'998 fr. 60 par mois, soit 47'983 fr. 20 par an. Comparé à un revenu sans invalidité non contesté de 65'478 fr., fondé sur les indications fournies par l'ancien employeur de l'intimé, il en résultait un taux d'incapacité de gain de 26,7 %, arrondi à 27 %.</w:t>
      </w:r>
    </w:p>
    <w:p>
      <w:r>
        <w:rPr>
          <w:b/>
        </w:rPr>
        <w:t>E. 3.2</w:t>
      </w:r>
    </w:p>
    <w:p>
      <w:r>
        <w:t>La recourante se plaint d'une constatation erronée des faits pertinents par la juridiction cantonale. Elle conteste l'interprétation faite par les premiers juges des expertises médicales sur lesquelles ces derniers prétendent s'être fondés, en particulier en ce qui concerne les limitations fonctionnelles de l'intimé dans l'exercice d'une activité adaptée. En retenant que l'intimé présentait une capacité de travail de 100 % dans une activité exercée uniquement en position assise et sans port de charges, avec la possibilité d'étendre la jambe droite, les premiers juges se seraient écartés des conclusions des expertises du BREM et du CEMed, dont ils avaient pourtant reconnu la pleine valeur probante. Selon la recourante, les limitations fonctionnelles décrites dans les deux expertises précitées étaient compatibles avec les cinq DPT qu'elle avait retenues dans sa décision sur opposition du 8 avril 2013.</w:t>
      </w:r>
    </w:p>
    <w:p>
      <w:r>
        <w:rPr>
          <w:b/>
        </w:rPr>
        <w:t>E. 3.3</w:t>
      </w:r>
    </w:p>
    <w:p>
      <w:r>
        <w:t>Les experts du BREM ont fait état d'une capacité de travail entière dans une activité qui ne demandait pas de charge sur le genou gauche et qui pouvait s'effectuer dans des positions variées et alternées, principalement assises. Selon ces derniers, un travail léger, assis, restait exigible (cf. expertise BREM, p. 52 et 53). Les experts du CEMed ont pour leur part décrit comme suit les limitations fonctionnelles devant être respectées dans une activité adaptée: pas de marche en terrain irrégulier, pas de montées et descentes fréquentes d'escaliers, pas de position statique prolongée, pas de charge de plus de 15 kilos, pas de travail en position agenouillée ou accroupie, pas de travail en hauteur. A la question leur demandant: "Adhérez-vous aux conclusions du docteur D.________ (expertise du 24 avril 2012) qui admet une incapacité totale de travail en tenant compte de l'état de santé global (somatique et psychique) ?", les experts du CEMed ont répondu: "Sur le plan rhumatologique, (...) pour ce qui concerne l'activité adaptée, nous sommes aussi d'accord car le docteur D.________ a écrit Lieu de travail où l'assuré peut être assis de manière constante avec possibilité d'étendre le genou droit, sans déplacement ni port de charges " (cf. expertise CEMed, p. 24). Cette réponse donnée par les experts ne saurait être isolée du contexte de l'expertise du CEMed, qui ne fait pas état de limitations aussi sévères que celles mentionnées par le docteur D.________. Les experts du BREM ne retiennent pas non plus une exigibilité aussi restreinte. Comme le relève la CNA, une lecture conjointe des deux expertises ne permet pas de considérer que l'intimé ne peut travailler qu'en position assise et sans port de charges, avec la nécessité d'étendre la jambe droite. On ne saurait pour autant retenir que le poste visé par la DPT n° 5202 (praticien en logistique) - écarté par la juridiction cantonale - était adapté au handicap de l'intimé. Ce poste implique une activité en position debout à raison de 30 % du temps, soit une part non négligeable du temps de travail et l'on ne peut sans plus admettre, sur le vu des deux expertises, que l'assuré soit à même de l'exercer. Dans ces conditions, les premiers juges n'ont pas violé le droit fédéral en se référant aux statistiques salariales.</w:t>
      </w:r>
    </w:p>
    <w:p>
      <w:r>
        <w:rPr>
          <w:b/>
        </w:rPr>
        <w:t>E. 3.4.1</w:t>
      </w:r>
    </w:p>
    <w:p>
      <w:r>
        <w:t>La recourante fait encore valoir qu'en procédant à un abattement de 20 % sur le revenu d'invalide, la juridiction cantonale a commis un abus de son pouvoir d'appréciation. Un abattement de 10 % seulement serait admissible selon elle.</w:t>
      </w:r>
    </w:p>
    <w:p>
      <w:r>
        <w:rPr>
          <w:b/>
        </w:rPr>
        <w:t>E. 3.4.2</w:t>
      </w:r>
    </w:p>
    <w:p>
      <w:r>
        <w:t>En ce qui concerne le taux d'abattement, la mesure dans laquelle les salaires ressortant des statistiques doivent être réduits dépend de l'ensemble des circonstances personnelles et professionnelles du cas particulier (limitations liées au handicap, âge, années de service, nationalité/catégorie d'autorisation de séjour et taux d'occupation). Une déduction globale maximale de 25 % sur le salaire statistique permet de tenir compte des différents éléments qui peuvent influencer le revenu d'une activité lucrative (cf. ATF 126 V 75 consid. 5b/aa-cc p. 79 s.). L'étendue de l'abattement (justifié dans un cas concret) constitue une question typique relevant du pouvoir d'appréciation, qui est soumise à l'examen du juge de dernière instance uniquement si la juridiction cantonale a exercé son pouvoir d'appréciation de manière contraire au droit, soit si elle a commis un excès positif ("Ermessens-überschreitung") ou négatif ("Ermessensunterschreitung") de son pouvoir d'appréciation ou a abusé ("Ermessensmissbrauch") de celui-ci ( ATF 137 V 71 consid. 5.1 p. 72 s.; 132 V 393 consid. 3.3 p. 399), notamment en retenant des critères inappropriés, en ne tenant pas compte de circonstances pertinentes, en ne procédant pas à un examen complet des circonstances pertinentes ou en n'usant pas de critères objectifs (cf. ATF 130 III 176 consid. 1.2 p. 180).</w:t>
      </w:r>
    </w:p>
    <w:p>
      <w:r>
        <w:rPr>
          <w:b/>
        </w:rPr>
        <w:t>E. 3.4.3</w:t>
      </w:r>
    </w:p>
    <w:p>
      <w:r>
        <w:t>Les experts du BREM et du CEMed ne retiennent pas que l'intimé se déplace en cannes anglaises, qu'il doit impérativement travailler en position assise avec la jambe droite allongée et qu'il ne peut transporter aucune charge, même minime. Dans ces circonstances, on constate que la juridiction cantonale a fixé l'abattement de 20 % en se fondant sur des éléments qui ne sont pas pertinents, en l'espèce, au regard des règles de droit applicables. En revanche, un abattement en raison des limitations fonctionnelles retenues par les experts précités (cf. consid. 3.3) apparaît justifié en l'espèce. A lui seul, ce critère ne justifie toutefois pas une déduction supérieure à 10 %.</w:t>
      </w:r>
    </w:p>
    <w:p>
      <w:r>
        <w:rPr>
          <w:b/>
        </w:rPr>
        <w:t>E. 3.4.4</w:t>
      </w:r>
    </w:p>
    <w:p>
      <w:r>
        <w:t>En procédant à un abattement de 10 % sur le revenu d'invalide, on obtient un taux d'invalidité de 17,5 % ([65'478 - 53'980] x 100 /65'478), soit un taux très proche de celui retenu par la recourante dans sa décision sur opposition du 8 avril 2013.</w:t>
      </w:r>
    </w:p>
    <w:p>
      <w:r>
        <w:rPr>
          <w:b/>
        </w:rPr>
        <w:t>E. 4</w:t>
      </w:r>
    </w:p>
    <w:p>
      <w:r>
        <w:t>Le recours doit par conséquent être admis et le jugement attaqué annulé. Les frais afférents à la présente procédure seront supportés par l'intimé qui succombe ( art. 66 al. 1 LTF ). Il a cependant déposé une demande d'assistance judiciaire. Dès lors que les conditions d'octroi sont réalisées ( art. 64 al. 1 et 2 LTF ), l'assistance judiciaire lui est accordée. L'intimé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