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8C_800/2014 vom 11. Dezember 2014</w:t>
      </w:r>
    </w:p>
    <w:p>
      <w:r>
        <w:t>Bundesgericht, 2014-12-11, DE</w:t>
      </w:r>
    </w:p>
    <w:p>
      <w:r>
        <w:rPr>
          <w:b/>
        </w:rPr>
        <w:t xml:space="preserve">Quelle: </w:t>
      </w:r>
      <w:r>
        <w:t>https://mcp.opencaselaw.ch/entscheid/bger_8C_800_2014</w:t>
      </w:r>
    </w:p>
    <w:p>
      <w:r>
        <w:t>FR: TF 8C_800/2014 du 11 décembre 2014</w:t>
      </w:r>
    </w:p>
    <w:p>
      <w:r>
        <w:t>IT: TF 8C_800/2014 del 11 dicembre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2</w:t>
      </w:r>
    </w:p>
    <w:p>
      <w:r>
        <w:t>Streitig und zu prüfen ist, ob die Beschwerdeführerin in der Zeit vom 1. Februar bis 31. Juli 2013 Anspruch auf Kinderzulagen für ihre Tochter B.________ hat.</w:t>
      </w:r>
    </w:p>
    <w:p>
      <w:r>
        <w:rPr>
          <w:b/>
        </w:rPr>
        <w:t>E. 3.1</w:t>
      </w:r>
    </w:p>
    <w:p>
      <w:r>
        <w:t>Nach Art. 3 Abs. 1 lit. b FamZG werden Ausbildungszulagen ab Ende des Monats, in welchem das Kind das 16. Altersjahr vollendet, bis zum Abschluss der Ausbildung ausgerichtet, längstens jedoch bis zum Ende des Monats, in welchem das Kind das 25. Altersjahr vollendet. Art. 1 Abs. 1 FamZV statuiert, dass ein Anspruch auf eine Ausbildungszulage für jene Kinder besteht, die eine Ausbildung im Sinne des Art. 25 Abs. 5 AVHG absolvieren.</w:t>
      </w:r>
    </w:p>
    <w:p>
      <w:r>
        <w:rPr>
          <w:b/>
        </w:rPr>
        <w:t>E. 3.2</w:t>
      </w:r>
    </w:p>
    <w:p>
      <w:r>
        <w:t>Art. 25 Abs. 5 Satz 2 AHVG beauftragt den Bundesrat, den Begriff der Ausbildung zu regeln, was dieser mit den auf den 1. Januar 2011 in Kraft getretenen Art. 49bis und 49ter AHVV getan hat. In Ausbildung ist demnach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 Art. 49bis Abs. 1 AHVV ). Nicht als in Ausbildung gilt demgegenüber ein Kind, wenn es ein durchschnittliches monatliches Erwerbseinkommen erzielt, das höher ist als die maximale volle Altersrente der AHV ( Art. 49bis Abs. 3 AHVV ).</w:t>
      </w:r>
    </w:p>
    <w:p>
      <w:r>
        <w:rPr>
          <w:b/>
        </w:rPr>
        <w:t>E. 3.3</w:t>
      </w:r>
    </w:p>
    <w:p>
      <w:r>
        <w:t>Die Ausbildung gilt unter anderem dann als beendet, wenn sie abgebrochen oder unterbrochen wird oder wenn ein Anspruch auf eine Invalidenrente entsteht ( Art. 49ter Abs. 2 AHVV ). Nicht als Unterbrechung gilt gemäss Art. 49ter Abs. 3 lit. a AHVV die übliche unterrichtsfreie Zeiten und Ferien von längstens 4 Monaten, sofern die Ausbildung unmittelbar danach fortgesetzt wird.</w:t>
      </w:r>
    </w:p>
    <w:p>
      <w:r>
        <w:rPr>
          <w:b/>
        </w:rPr>
        <w:t>E. 3.4</w:t>
      </w:r>
    </w:p>
    <w:p>
      <w:r>
        <w:t>Zur Berechnung des massgeblichen Einkommens des Kindes gilt gemäss Rz. 3366 Abschnitt c der Wegleitung des Bundesamtes für Sozialversicherungen BSV über die Renten in der Eidgenössischen Alters-, Hinterlassenen- und Invalidenversicherung (RWL) Folgendes:</w:t>
      </w:r>
    </w:p>
    <w:p>
      <w:r>
        <w:t>Befindet sich das Kind in einem Praktikum, in welchem das durchschnittliche Monatseinkommen über dem Betrag einer maximalen vollen Altersrente liegt, sind die Praktikumsmonate gesondert vom Rest der übrigen Monate zu betrachten. Nur wenn das Praktikum in einer üblichen unterrichtsfreien Zeit (gemäss Art. 49ter Abs. 3 AHVV ) gemacht wird oder der monatliche Praktikumslohn unter dem Betrag der maximalen vollen Altersrente liegt, wird das gesamte Einkommen auf einen Monatsdurchschnitt des betreffenden Kalenderjahres umgerechnet.</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133 V 257 E. 3.2 S. 258 mit Hinweisen; vgl. BGE 133 II 305 E. 8.1 S. 315).</w:t>
      </w:r>
    </w:p>
    <w:p>
      <w:r>
        <w:rPr>
          <w:b/>
        </w:rPr>
        <w:t>E. 4.1</w:t>
      </w:r>
    </w:p>
    <w:p>
      <w:r>
        <w:t>Es steht fest und ist unbestritten, dass die Tochter der Beschwerdeführerin in der streitigen Zeit vom 1. Februar bis 31. Juli 2013 ein Praktikum absolviert und dabei ein Einkommen von Fr. 3000.- pro Monat erzielt hat. Da das Praktikum mehr als vier Monate gedauert hat, fällt sie nicht unter die Sonderregelung von Art. 49ter Abs. 3 lit. a AHVV . Damit kann sie weder aus dieser Sonderregelung noch aus dem Umstand, dass die RWL einen Vorrang dieser Regelung gegenüber Art. 49bis Abs. 3 AHVV statuiert, etwas zu ihren Gunsten ableiten.</w:t>
      </w:r>
    </w:p>
    <w:p>
      <w:r>
        <w:rPr>
          <w:b/>
        </w:rPr>
        <w:t>E. 4.2</w:t>
      </w:r>
    </w:p>
    <w:p>
      <w:r>
        <w:t>Die Frage, ob sich die Tochter der Beschwerdeführerin im streitigen Zeitraum in Ausbildung im Sinne des Gesetzes befunden hat, bestimmt sich demnach im vorliegenden Fall einzig nach Art. 49bis Abs. 3 AHVV . Dabei sind nach der Regelung der RWL zur Bemessung des durchschnittlichen Einkommens die Monate, in welchen sie sich im Praktikum befunden hat, getrennt von den übrigen Zeiten zu betrachten. In der Zeit vom 1. Februar bis zum 31. Juli 2013 erzielte sie ein durchschnittliches Einkommen von Fr. 3000.-; dieser Betrag liegt höher als jener einer maximalen vollen Altersrente der AHV.</w:t>
      </w:r>
    </w:p>
    <w:p>
      <w:r>
        <w:rPr>
          <w:b/>
        </w:rPr>
        <w:t>E. 4.3</w:t>
      </w:r>
    </w:p>
    <w:p>
      <w:r>
        <w:t>Erzielte die Tochter in dieser Zeit somit ein Einkommmen, welches über dem Grenzbetrag von Art. 49bis Abs. 3 AHVV lag, so befand sie sich gemäss dieser Bestimmung nicht in Ausbildung im Sinne des Gesetzes. Daran vermag auch der Umstand nichts zu ändern, dass die Tochter während des Praktikums an der Universität eingeschrieben war und das Praktikum dem Erreichen ihres Studienzieles diente (vgl. auch SVR 2014 IV Nr. 24 S. 84, 8C_875/2013 E. 3.3).</w:t>
      </w:r>
    </w:p>
    <w:p>
      <w:r>
        <w:rPr>
          <w:b/>
        </w:rPr>
        <w:t>E. 4.4</w:t>
      </w:r>
    </w:p>
    <w:p>
      <w:r>
        <w:t>Befand sich die Tochter der Beschwerdeführerin somit im fraglichen Zeitraum nicht in Ausbildung im Sinne des Gesetzes, so bestehen Einsprache- und kantonaler Gerichtsentscheid zu Recht; die Beschwerde ist entsprechend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