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7/2013 vom 3. April 2013</w:t>
      </w:r>
    </w:p>
    <w:p>
      <w:r>
        <w:t>Bundesgericht, 2013-04-03, DE</w:t>
      </w:r>
    </w:p>
    <w:p>
      <w:r>
        <w:rPr>
          <w:b/>
        </w:rPr>
        <w:t xml:space="preserve">Quelle: </w:t>
      </w:r>
      <w:r>
        <w:t>https://mcp.opencaselaw.ch/entscheid/bger_8C_7_2013</w:t>
      </w:r>
    </w:p>
    <w:p>
      <w:r>
        <w:t>FR: TF 8C 7/2013 du 3 avril 2013</w:t>
      </w:r>
    </w:p>
    <w:p>
      <w:r>
        <w:t>IT: TF 8C 7/2013 del 3 aprile 2013</w:t>
      </w:r>
    </w:p>
    <w:p>
      <w:pPr>
        <w:pStyle w:val="Heading2"/>
      </w:pPr>
      <w:r>
        <w:t>Regeste</w:t>
      </w:r>
    </w:p>
    <w:p>
      <w:r>
        <w:t>Invalidenversicherung (Rentenrevision; aufschiebende Wirkung) | Invalidenversicherung</w:t>
      </w:r>
    </w:p>
    <w:p>
      <w:pPr>
        <w:pStyle w:val="Heading2"/>
      </w:pPr>
      <w:r>
        <w:t>Erwägungen</w:t>
      </w:r>
    </w:p>
    <w:p>
      <w:r>
        <w:rPr>
          <w:b/>
        </w:rPr>
        <w:t>E. 1</w:t>
      </w:r>
    </w:p>
    <w:p>
      <w:r>
        <w:t>Gemäss Art. 112 Abs. 1 BGG müssen die Entscheide, welche der Beschwerde ans Bundesgericht unterliegen, bestimmten Anforderungen genügen. Zu diesen Anforderungen gehört gemäss lit. b der Bestimmung, dass die Entscheide die massgebenden Gründe tatsächlicher und rechtlicher Art, insbesondere die Angabe der angewendeten Gesetzesbestimmungen enthalten. Nach Art. 112 Abs. 3 BGG kann das Bundesgericht einen Entscheid, der den Anforderungen von Absatz 1 nicht genügt, an die kantonale Behörde zur Verbesserung zurückweisen oder aufheben. Der vorinstanzliche Entscheid ist in der sog. "Dass-Form" gehalten. Das erschwert seine Les- und Nachvollziehbarkeit erheblich, zumal er verschiedene formell- und materiellrechtliche Streitpunkte beschlägt und mit neun Seiten nicht kurz gehalten ist. Das Sozialversicherungsgericht des Kantons Zürich wurde in jüngerer Zeit schon verschiedentlich auf die erschwerte Lesbarkeit längerer "Dass-Entscheide" hingewiesen (die Entscheide wiesen jeweils 5-10 Seiten auf). Dabei wurden die gesetzlichen Voraussetzungen im Sinne von Art. 112 BGG jeweils als noch erfüllt betrachtet (vgl. zum Ganzen Urteil 8C_301/2011 vom 30. Juni 2011 E. 2 mit Hinweisen; vgl. auch ZR 111 [2012] Nr. 74 S. 216 E. 4). Es ist aber von der Vorinstanz mit Nachdruck zu erwarten, dass sie die "Dass-Form" künftig nicht mehr bei längeren Entscheiden verwendet.</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w:t>
      </w:r>
    </w:p>
    <w:p>
      <w:r>
        <w:rPr>
          <w:b/>
        </w:rPr>
        <w:t>E. 2.2</w:t>
      </w:r>
    </w:p>
    <w:p>
      <w:r>
        <w:t>Soweit der Versicherte die Rückweisung zu weiteren medizinischen Abklärungen, die Kürzung der ihm zugesprochenen Parteientschädigung sowie eine angeblich unzulässige Protokollierung und Aktenführung durch die Vorinstanz rügt, kann darauf mangels eines nicht wieder gutzumachenden Nachteils nicht eingetreten werden.</w:t>
      </w:r>
    </w:p>
    <w:p>
      <w:r>
        <w:rPr>
          <w:b/>
        </w:rPr>
        <w:t>E. 3</w:t>
      </w:r>
    </w:p>
    <w:p>
      <w:r>
        <w:t>Gemäss Art. 98 BGG kann mit der Beschwerde gegen Entscheide über vorsorgliche Massnahmen nur die Verletzung von verfassungsmässigen Rechten gerügt werden. Zwischenentscheide über die aufschiebende Wirkung fallen unter diese Regelung. Für entsprechende Einwendungen gilt eine qualifizierte Rüge- und Begründungspflicht ( Art. 106 Abs. 2 BGG ; BGE 134 II 192 E. 1.5 S. 196 mit Hinweisen; vgl. auch Urteil 8C_11/2011 vom 9. Februar 2011 E. 2). Soweit der Versicherte die verweigerte Wiederherstellung der aufschiebenden Wirkung durch die Vorinstanz rügt, kann offenbleiben, ob seine Beschwerde den Anforderungen von Art. 106 Abs. 2 BGG genügt. Denn das entsprechende Begehren ist angesichts der konkreten Umstände (enge finanzielle Verhältnisse, schwerwiegende Anhaltspunkte für eine höhere zumutbare Arbeitsfähigkeit und damit auf veränderte berufliche Verhältnisse) sowie der konstanten Rechtsprechung, wonach der Entzug der aufschiebenden Wirkung bei erstinstanzlichen Beschwerden gegen eine Rentenherabsetzung/-aufhebung auch während der Zeit der Rückweisung an die Verwaltung zur weiteren Abklärung und neuen Verfügung andauert (SVR 2011 IV Nr. 33 S. 96 mit Hinweisen, 8C_451/2010), abzuweisen. Dieselben Gründe sind auch massgebend für die Ablehnung des Gesuchs um Wiederherstellung der aufschiebenden Wirkung im Sinne von Art. 103 BGG .</w:t>
      </w:r>
    </w:p>
    <w:p>
      <w:r>
        <w:rPr>
          <w:b/>
        </w:rPr>
        <w:t>E. 4</w:t>
      </w:r>
    </w:p>
    <w:p>
      <w:r>
        <w:t>Da die Beschwerde aussichtslos ist, wird sie im Verfahren nach Art. 109 BGG , d.h. ohne Durchführung eines Schriftenwechsels und mit summarischer Begründung, erledigt.</w:t>
      </w:r>
    </w:p>
    <w:p>
      <w:r>
        <w:rPr>
          <w:b/>
        </w:rPr>
        <w:t>E. 5.1</w:t>
      </w:r>
    </w:p>
    <w:p>
      <w:r>
        <w:t>Die Beschwerde des Versicherten ist aussichtslos, weshalb sein Gesuch um unentgeltliche Rechtspflege abzuweisen ist ( Art. 64 Abs. 1 BGG ).</w:t>
      </w:r>
    </w:p>
    <w:p>
      <w:r>
        <w:rPr>
          <w:b/>
        </w:rPr>
        <w:t>E. 5.2</w:t>
      </w:r>
    </w:p>
    <w:p>
      <w:r>
        <w:t>Das Verfahren ist kostenpflichtig. Die Gerichtskosten sind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