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8C_79/2024 vom 20. Februar 2024</w:t>
      </w:r>
    </w:p>
    <w:p>
      <w:r>
        <w:t>Bundesgericht, 2024-02-20, DE</w:t>
      </w:r>
    </w:p>
    <w:p>
      <w:r>
        <w:rPr>
          <w:b/>
        </w:rPr>
        <w:t xml:space="preserve">Quelle: </w:t>
      </w:r>
      <w:r>
        <w:t>https://mcp.opencaselaw.ch/entscheid/bger_8C_79_2024</w:t>
      </w:r>
    </w:p>
    <w:p>
      <w:r>
        <w:t>FR: TF 8C_79/2024 du 20 février 2024</w:t>
      </w:r>
    </w:p>
    <w:p>
      <w:r>
        <w:t>IT: TF 8C_79/2024 del 20 febbraio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18. Dezember 2023 in Auseinandersetzung mit den Parteivorbringen und in Würdigung der Akten eingehend dar, weshalb der Beschwerdeführer keinen Anspruch auf eine von der Invalidenversicherung finanzierte erneute Berufsausbildung hat.</w:t>
      </w:r>
    </w:p>
    <w:p>
      <w:r>
        <w:rPr>
          <w:b/>
        </w:rPr>
        <w:t>E. 3</w:t>
      </w:r>
    </w:p>
    <w:p>
      <w:r>
        <w:t>In seiner Eingabe an das Bundesgericht befasst sich der verbeiständete, von seiner Mutter vertretene Beschwerdeführer nicht mit den für das Ergebnis des angefochtenen Urteils massgeblichen vorinstanzlichen Erwägungen, indem er weder rügt noch aufzeigt, inwiefern diese in tatsächlicher Hinsicht im Sinne von Art. 97 Abs. 1 BGG offensichtlich unrichtig, d.h. unhaltbar oder willkürlich sein ( BGE 146 IV 88 E. 1.3.1 mit Hinweisen) oder auf einer Rechtsverletzung gemäss Art. 95 BGG beruhen sollten. Der Verweis auf die dem kantonalen Gericht eingereichte Beschwerde stellt praxisgemäss keine genügende Begründung eines Rechtsmittels dar. Denn die beschwerdeführende Partei soll in der Beschwerdeschrift ans Bundesgericht nicht bloss die Rechtsstandpunkte, die sie im Verwaltungs- oder im kantonalen Gerichtsverfahren eingenommen hat, erneut bekräftigen, sondern mit ihrer Kritik an den als rechtsfehlerhaft erachteten Erwägungen der Vorinstanz ansetzen. Die Begründung hat in der Beschwerdeschrift selbst zu erfolgen, und der blosse Verweis auf Ausführungen in anderen Rechtsschriften oder auf die Akten reicht nicht aus (vgl. BGE 145 V 141 E. 5.1; 143 II 283 E. 1.2.3; 140 III 115 E. 2 mit Hinweisen). Die abschliessende Bitte der Mutter des Beschwerdeführers, der "Erwachsenschutz" sei aufzuheben, beschlägt nicht das invalidenversicherungsrechtliche Verfahren, weshalb sich Weiterungen dazu von vornherein erübrigen.</w:t>
      </w:r>
    </w:p>
    <w:p>
      <w:r>
        <w:rPr>
          <w:b/>
        </w:rPr>
        <w:t>E. 4</w:t>
      </w:r>
    </w:p>
    <w:p>
      <w:r>
        <w:t>Da der Begründungsmangel offensichtlich ist, wird im vereinfachten Verfahren nach Art. 108 Abs. 1 lit. b BGG auf das Rechtsmittel nicht eingetreten.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