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8C_798/2023 vom 3. Oktober 2024</w:t>
      </w:r>
    </w:p>
    <w:p>
      <w:r>
        <w:t>Bundesgericht, 2024-10-03, DE</w:t>
      </w:r>
    </w:p>
    <w:p>
      <w:r>
        <w:rPr>
          <w:b/>
        </w:rPr>
        <w:t xml:space="preserve">Quelle: </w:t>
      </w:r>
      <w:r>
        <w:t>https://mcp.opencaselaw.ch/entscheid/bger_8C_798_2023</w:t>
      </w:r>
    </w:p>
    <w:p>
      <w:r>
        <w:t>FR: TF 8C_798/2023 du 3 octobre 2024</w:t>
      </w:r>
    </w:p>
    <w:p>
      <w:r>
        <w:t>IT: TF 8C_798/2023 del 3 ottobre 2024</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Daran ändert sich auch nichts, wenn im Rückweisungsentscheid eine materielle Teilfrage beantwortet wird ( BGE 133 V 477 E. 4.2).</w:t>
      </w:r>
    </w:p>
    <w:p>
      <w:r>
        <w:rPr>
          <w:b/>
        </w:rPr>
        <w:t>E. 1.2</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selbstständig anfechtbar ist, bei Nichtanfechtung selbstständig rechtskräftig wird und später nicht mehr angefochten werden kann ( BGE 135 V 141 E. 1.4; Urteil 9C_312/2022 vom 5. Januar 2023 E. 1.2).</w:t>
      </w:r>
    </w:p>
    <w:p>
      <w:r>
        <w:rPr>
          <w:b/>
        </w:rPr>
        <w:t>E. 1.3</w:t>
      </w:r>
    </w:p>
    <w:p>
      <w:r>
        <w:t>Die Vorinstanz hat der Beschwerdeführerin vom 1. November 2019 bis 31. August 2021 eine Viertelsrente zugesprochen und für den Zeitraum vom 1. September bis 31. Dezember 2021 einen Rentenanspruch verneint (Urteilsdispositiv, Ziffer 1, S. 22). Zur Klärung eines allfälligen Leistungsanspruchs ab 1. Januar 2022 hat sie die Sache an die Verwaltung zurückgewiesen, damit sie im Sinne der Erwägungen verfahre und hiernach neu entscheide (Urteilsdispositiv, Ziffer 2, S. 22). Den Erwägungen ist zu entnehmen, dass die Rückweisung zur Veranlassung weiterer medizinischer Abklärungen im Zusammenhang mit möglicherweise seit der Begutachtung durch die B.________ AG eingetretenen gesundheitlichen Verschlechterungen und zur Neuverfügung über den Leistungsanspruch ab dem Zeitpunkt der möglichen Verschlechterung erfolgt ist. Die IV-Stelle ist zudem aufgefordert worden, auf den im Urteil des kantonalen Gerichts festgestellten Status (90 % Erwerb, 10 % Haushalt) abzustellen (vorinstanzliche Erwägung 7, S. 20).</w:t>
      </w:r>
    </w:p>
    <w:p>
      <w:r>
        <w:rPr>
          <w:b/>
        </w:rPr>
        <w:t>E. 1.3.1</w:t>
      </w:r>
    </w:p>
    <w:p>
      <w:r>
        <w:t>Hinsichtlich der Rückweisung für die Phase ab 1. Januar 2022 ist das vorinstanzliche Urteil als nur unter den Voraussetzungen des Art. 93 Abs. 1 BGG anfechtbarer Zwischenentscheid zu qualifizieren (E. 1.1 hiervor). Die Beschwerdeführerin wendet allerdings nichts gegen die Rückweisung ein, weshalb sich Weiterungen zur Frage erübrigen, ob die Erfordernisse für ein diesbezügliches letztinstanzliches Eintreten erfüllt wären.</w:t>
      </w:r>
    </w:p>
    <w:p>
      <w:r>
        <w:rPr>
          <w:b/>
        </w:rPr>
        <w:t>E. 1.3.2</w:t>
      </w:r>
    </w:p>
    <w:p>
      <w:r>
        <w:t>Über den Rentenanspruch vom 1. November 2019 bis 31. Dezember 2021 hat das kantonale Gericht abschliessend entschieden (Viertelsrente vom 1. November 2019 bis 31. August 2021, keine Rente vom 1. September bis 31. Dezember 2021). In Bezug auf diese Phase handelt es sich beim angefochtenen Urteil - wie die Beschwerdeführerin zu Recht vorbringt - um einen selbstständig anfechtbaren Teilentscheid im Sinne von Art. 91 lit. a BGG (E. 1.1 f. hiervor). Die Beschwerde richtet sich einzig gegen die Rentenfestlegung in diesem Zeitraum, weshalb darauf einzutreten ist.</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2.2</w:t>
      </w:r>
    </w:p>
    <w:p>
      <w:r>
        <w:t>Die vorinstanzlichen Feststellungen zum Gesundheitszustand und zur Arbeitsfähigkeit der versicherten Person sowie bei der konkreten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w:t>
      </w:r>
    </w:p>
    <w:p>
      <w:r>
        <w:t>Streitig und zu prüfen ist, ob die Vorinstanz Bundesrecht verletzt hat, indem sie der Beschwerdeführerin ab 1. November 2019 lediglich eine Viertelsrente zusprach und einen Rentenanspruch für die Zeit vom 1. September bis 31. Dezember 2021 verneinte.</w:t>
      </w:r>
    </w:p>
    <w:p>
      <w:r>
        <w:t>Unbestritten ist hingegen letztinstanzlich, dass die Beschwerdeführerin im Gesundheitsfall zu 90 % erwerbstätig und zu 10 % im Haushalt beschäftigt wäre, der Invaliditätsgrad somit in Beachtung dieser Anteile anhand der gemischten Methode zu berechnen ist.</w:t>
      </w:r>
    </w:p>
    <w:p>
      <w:r>
        <w:rPr>
          <w:b/>
        </w:rPr>
        <w:t>E. 4.1</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Dementsprechend ist nach der bis zum 31. Dezember 2021 geltenden Rechtslage zu beurteilen, ob bis zu jenem Zeitpunkt eine rentenrelevante Änderung eingetreten ist. In diesem Sinne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w:t>
      </w:r>
    </w:p>
    <w:p>
      <w:r>
        <w:t>Zwar erging hier die dem angefochtenen Urteil zugrunde liegende Verfügung erst nach dem 1. Januar 2022. Vorliegend steht aber der Rentenanspruch bis Ende 2021 und eine allfällige vor diesem Zeitpunkt eingetretene und gemäss Art. 88a IVV möglicherweise zu berücksichtigende Änderung der tatsächlichen Verhältnisse zur Diskussion. In dieser Hinsicht hat die Vorinstanz zutreffend die Gesetzesgrundlagen in der bis zum 31. Dezember 2021 gültig gewesenen Fassung angewendet.</w:t>
      </w:r>
    </w:p>
    <w:p>
      <w:r>
        <w:rPr>
          <w:b/>
        </w:rPr>
        <w:t>E. 4.2</w:t>
      </w:r>
    </w:p>
    <w:p>
      <w:r>
        <w:t>Die für die Beurteilung der Streitsache massgeblichen rechtlichen Grundlagen werden im angefochtenen Urteil zutreffend dargelegt. Es betrifft dies insbesondere die Bestimmungen und Grundsätze zur Invalidität ( Art. 8 Abs. 1 ATSG , Art. 4 Abs. 1 IVG ), zum Rentenanspruch ( Art. 28 IVG ) sowie zur Invaliditätsbemessung bei im Gesundheitsfall teilweise Erwerbstätigen nach der gemischten Methode (aArt. 28a Abs. 2 und 3 IVG; BGE 145 V 370 , 143 I 50 E. 4.4). Darauf wird verwiesen.</w:t>
      </w:r>
    </w:p>
    <w:p>
      <w:r>
        <w:rPr>
          <w:b/>
        </w:rPr>
        <w:t>E. 5.1</w:t>
      </w:r>
    </w:p>
    <w:p>
      <w:r>
        <w:t>Das kantonale Gericht hat hinsichtlich des vorliegend zu beurteilenden Streitgegenstandes (Rentenanspruch zwischen dem 1. November 2019 und dem 31. Dezember 2021, vgl. E. 1.3.2 hiervor) das von der Verwaltung eingeholte Gutachten der B.________ AG vom 9. August 2021 als beweiskräftig qualifiziert. Gestützt darauf hat es angenommen, dass der Beschwerdeführerin die ehemalige Tätigkeit im Office eines Migros-Restaurants mit einer Leistungseinschränkung von 30 % zumutbar sei, während in einer ideal angepassten Beschäftigung eine 20%ige Leistungseinschränkung bestehe. Im Haushalt sei die Beschwerdeführerin demgegenüber nicht wesentlich eingeschränkt. Ausserdem hat es die Vorinstanz als nachvollziehbar erachtet, dass die Experten rückblickend von September 2018 bis Mai 2019 von einer 100%igen Arbeitsunfähigkeit und anschliessend ab Juni 2019 bis zur Begutachtung im Mai 2021 von einer 50%igen Arbeitsunfähigkeit ausgegangen sind. Eine allfällig höhere Arbeitsunfähigkeit als 50 % während der teilstationären Behandlung vom 9. März bis 3. Juli 2020 habe nicht drei Monate angedauert, womit sich im Ergebnis nichts an einer durchschnittlich 50%igen Arbeitsunfähigkeit ändere. Ob nach der Begutachtung (Explorationsdatum: 26. Mai 2021) im Oktober 2021 (erstmalige Diagnose von rezidivierenden Schwankschwindelepisoden im Oktober 2021, Diagnose eines Morbus Menière im Februar 2022) oder allenfalls zu einem späteren Zeitpunkt eine gesundheitliche Verschlechterung eingetreten sei, würden erst die weiteren medizinischen Abklärungen zeigen. Eine allfällige Verschlechterung könne unter Berücksichtigung der Dreimonatsfrist gemäss Art. 88a Abs. 2 IVV jedenfalls frühestens ab 1. Januar 2022 einen erneuten Rentenanspruch begründen, weshalb vom 1. September bis 31. Dezember 2021 ein Rentenanspruch zu verneinen sei. Für die Zeit vom 1. November 2019 bis 31. August 2021 bestehe bei einem anhand der gemischten Methode ermittelten Invaliditätsgrad von 42 % Anspruch auf eine Viertelsrente.</w:t>
      </w:r>
    </w:p>
    <w:p>
      <w:r>
        <w:rPr>
          <w:b/>
        </w:rPr>
        <w:t>E. 5.2</w:t>
      </w:r>
    </w:p>
    <w:p>
      <w:r>
        <w:t>Die Beschwerdeführerin rügt, das kantonale Gericht verletze Bundesrecht, indem es zum Schluss komme, dass das polydisziplinäre Gutachten der B.________ AG beweiskräftig und der IV-Stelle keine Verletzung ihrer Abklärungspflicht vorzuwerfen sei. Das psychiatrische Teilgutachten sei nicht in Kenntnis der Vorakten erfolgt und setze sich weder mit den widersprechenden Einschätzungen des Experten Dr. med. C.________, Facharzt für Psychiatrie und Psychotherapie FMH, im Gutachten vom 2. Juli 2019 (eingeholt von der Krankentaggeldversicherung), der Klinik D.________ (Austrittsbericht vom 3. Juli 2020 zum stationären Aufenthalt vom 9. März bis 3. Juli 2020), und der Bildungswerkstätte E.________ vom 9. Oktober 2020 auseinander. Zudem stehe die von Dr. med. F.________, Facharzt für Psychiatrie und Psychotherapie FMH, vorgenommene Einschätzung einer 80%igen Arbeitsfähigkeit in seinem psychiatrischen Teilgutachten der B.________ AG im Widerspruch zur Konsensbeurteilung der Experten, in der von einer 50%igen Restarbeitsfähigkeit ausgegangen werde.</w:t>
      </w:r>
    </w:p>
    <w:p>
      <w:r>
        <w:rPr>
          <w:b/>
        </w:rPr>
        <w:t>E. 6.1</w:t>
      </w:r>
    </w:p>
    <w:p>
      <w:r>
        <w:t>In der interdisziplinären Gesamtbeurteilung der Expertise wird für körperlich leichte bis intermittierend mittelschwere, wechselbelastende Tätigkeiten ohne Zwangshaltungen des Rumpfes und ohne länger andauernde Stehphasen ab Mai 2021 (Untersuchungsdatum) eine 80%ige "Arbeits- und Leistungsfähigkeit" angegeben, wobei die Einschränkung vorwiegend auf die depressive Symptomatik zurückgeführt wird. Für die Vergangenheit wird von September 2018 bis Mai 2019 von einer 100%igen und ab Juni 2019 von einer 50%igen Arbeitsunfähigkeit ausgegangen. Im psychiatrischen Teilgutachten attestiert Dr. med. F.________ eine 20%ige Leistungseinschränkung, auch rückwirkend "seit der fachärztlich attestierten Arbeitsunfähigkeit", wobei vorübergehende (punktuelle) höhergradige Arbeitsunfähigkeiten im Rahmen von Verschlechterungen möglich seien. Diese Einschätzung wird nicht weiter begründet, weshalb nur vermutet werden kann, dass der psychiatrische Gutachter mit der fachärztlich attestierten Arbeitsunfähigkeit die 100%ige Arbeitsunfähigkeit ab September 2018 bis Mai 2019 zunächst wegen einer höhergradigen depressiven Episode und danach infolge der Implantation einer Hüfttotalprothese rechts am 11. Januar 2019 meint. Da offenbar die Arbeitsfähigkeit aus somatischer Sicht gemäss rheumatologischem Teilgutachten spätestens ab Juni 2019 leidensangepasst nur noch zu 10 % eingeschränkt war und Dr. med. F.________ psychiatrisch rückwirkend "gemittelt im Verlauf" von einer 20%igen Leistungseinschränkung ausgeht, lässt sich nicht nachvollziehen, weshalb insgesamt ab Juni 2019 eine 50%ige und ab Juni 2021 eine 70%ige Arbeitsfähigkeit angenommen wird. Die Experten äussern sich dazu weder in den Teilgutachten noch in ihrer Konsensbeurteilung. Es ist der Beschwerdeführerin daher beizupflichten, dass das Gutachten in Bezug auf die Entwicklung des Gesundheitszustandes und die entsprechenden Auswirkungen auf die Arbeitsfähigkeit vor Mai 2021 lückenhaft, bzw. widersprüchlich ist und deshalb offensichtlich nicht als beweiskräftig eingestuft werden kann.</w:t>
      </w:r>
    </w:p>
    <w:p>
      <w:r>
        <w:rPr>
          <w:b/>
        </w:rPr>
        <w:t>E. 6.2</w:t>
      </w:r>
    </w:p>
    <w:p>
      <w:r>
        <w:t>Die Vorinstanz thematisiert den Widerspruch bezüglich der gutachterlichen Angaben zur Arbeitsfähigkeit in der Zeit von Juni 2019 bis zur Untersuchung im Mai 2021 (90%ige Arbeitsfähigkeit aus rheumatologischer Sicht, 80%ige Arbeitsfähigkeit aus psychiatrischer Sicht, 50%ige Arbeitsfähigkeit aus gesamtmedizinischer Sicht) nicht. Sie beschränkt sich in ihren Erwägungen zum Verlauf der Arbeitsfähigkeit auf eine Unstimmigkeit hinsichtlich der in der Expertise (implizit) auch für die Dauer der tagesklinischen Betreuung vom 9. März bis 3. Juli 2020 (wo anfangs eine schwere depressive Episode diagnostiziert wurde) unverändert attestierten 50%igen Arbeitsfähigkeit. Vor dem Hintergrund der Einschätzung des Dr. med. C.________, wonach im Juli 2019 bei einer mindestens mittelgradigen depressiven Episode eine 90%ige Arbeitsunfähigkeit bestanden haben soll, und des Austrittsberichts der Tagesklinik vom 14. Juli 2020, in dem von einer zu Beginn schweren und danach mittelgradigen depressiven Episode ausgegangen wird, nimmt sie an, im Resultat würde sich "gemittelt" eine Arbeitsunfähigkeit von 50 % rechtfertigen. Damit lässt sie die Diskrepanz zwischen den Teilgutachten und der Konsensbeurteilung ausser Betracht und trifft medizinische Annahmen, ohne dass sie sich dabei auf fachärztliche Angaben stützen könnte. Dr. med. F.________ äussert sich jedenfalls in seinem Teilgutachten nicht dazu, welche Schlüsse aus den Angaben des Dr. med. C.________ und der Tagesklinik hinsichtlich des Verlaufs der Arbeitsfähigkeit gezogen werden könnten. Vielmehr nimmt er im Gegensatz zum kantonalen Gericht, scheinbar unreflektiert und unabhängig von den ihm bei seiner Begutachtung zugänglichen Unterlagen, eine Leistungseinschränkung von durchschnittlich 20 % an, wobei er ohne weitere Spezifizierung auf vorübergehende "punktuelle" höhergradige Arbeitsunfähigkeiten hinweist. Die Beschwerdeführerin rügt zu Recht, dass dies keine eingehende und schlüssige Auseinandersetzung mit den abweichenden Berichten der involvierten Fachpersonen darstelle. Soweit die Vorinstanz die gutachterliche Einschätzung einer 80%igen Arbeitsfähigkeit aufgrund einer Indikatorenprüfung als überzeugend qualifiziert hat, ist mit der Beschwerdeführerin einig zu gehen, dass damit der Mangel am Gutachten nicht behoben wird. Denn dadurch wird nicht geklärt, weshalb insgesamt von einer 50%igen Arbeitsfähigkeit auszugehen ist, wobei somatischerseits offenbar nur eine Einschränkung von 10 % ins Gewicht fallen soll.</w:t>
      </w:r>
    </w:p>
    <w:p>
      <w:r>
        <w:rPr>
          <w:b/>
        </w:rPr>
        <w:t>E. 7.1</w:t>
      </w:r>
    </w:p>
    <w:p>
      <w:r>
        <w:t>Da dem Gutachten der B.________ AG die Beweiskraft fehlt, muss der medizinische Sachverhalt für die hier streitgegenständliche Zeit bis Ende Dezember 2021 (vgl. E. 3 hiervor) als unvollständig (widersprüchlich) und damit offensichtlich unrichtig festgestellt gelten. Es liegt eine Verletzung des Untersuchungsgrundsatzes ( Art. 61 lit. c ATSG ; vgl. E. 2.2 hiervor) und zugleich der Regeln betreffend den Beweiswert von ärztlichen Berichten und Expertisen ( BGE 143 V 124 E. 2.2.2) vor. Das angefochtene Urteil erweist sich somit als bundesrechtswidrig und ist aufzuheben. Die Sache ist an die IV-Stelle zurückzuweisen, damit sie weitere Abklärungen veranlasse und anschliessend über den Leistungsanspruch im vorliegend zu beurteilenden Zeitraum neu verfüge.</w:t>
      </w:r>
    </w:p>
    <w:p>
      <w:r>
        <w:rPr>
          <w:b/>
        </w:rPr>
        <w:t>E. 7.2</w:t>
      </w:r>
    </w:p>
    <w:p>
      <w:r>
        <w:t>Zu beachten ist dabei, dass das Bundesgericht an die Begehren der Partei gebunden ist ( Art. 107 Abs. 1 BGG ) und das vorinstanzliche Urteil nicht zu deren Ungunsten abändern darf. Eine reformatio in peius zum Nachteil der Beschwerdeführerin ist ausgeschlossen (vgl. BGE 131 III 91 E. 5.2 mit Hinweisen; Urteil 8C_60/2023 vom 14. Juli 2023 E. 8.6). Da das Verbot der reformatio in peius im Fall einer Rückweisung auch die vorinstanzlichen Behörden bindet, hat die Beschwerdegegnerin demnach bei der neuen Verfügung zu berücksichtigen, dass die Beschwerdeführerin mindestens vom 1. November 2019 bis 31. August 2021 zumindest Anspruch auf eine Viertelsrente hat.</w:t>
      </w:r>
    </w:p>
    <w:p>
      <w:r>
        <w:rPr>
          <w:b/>
        </w:rPr>
        <w:t>E. 8.1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der anwaltlich vertretenen Beschwerdeführerin eine Parteientschädigung auszurichten.</w:t>
      </w:r>
    </w:p>
    <w:p>
      <w:r>
        <w:rPr>
          <w:b/>
        </w:rPr>
        <w:t>E. 8.2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