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797/2013 vom 21. Februar 2014</w:t>
      </w:r>
    </w:p>
    <w:p>
      <w:r>
        <w:t>Bundesgericht, 2014-02-21, IT</w:t>
      </w:r>
    </w:p>
    <w:p>
      <w:r>
        <w:rPr>
          <w:b/>
        </w:rPr>
        <w:t xml:space="preserve">Quelle: </w:t>
      </w:r>
      <w:r>
        <w:t>https://mcp.opencaselaw.ch/entscheid/bger_8C_797_2013</w:t>
      </w:r>
    </w:p>
    <w:p>
      <w:r>
        <w:t>FR: TF 8C 797/2013 du 21 février 2014</w:t>
      </w:r>
    </w:p>
    <w:p>
      <w:r>
        <w:t>IT: TF 8C 797/2013 del 21 febbraio 2014</w:t>
      </w:r>
    </w:p>
    <w:p>
      <w:pPr>
        <w:pStyle w:val="Heading2"/>
      </w:pPr>
      <w:r>
        <w:t>Regeste</w:t>
      </w:r>
    </w:p>
    <w:p>
      <w:r>
        <w:t>Assicurazione contro la disoccupazione (indennità di disoccupazione) | Assicurazione contro la disoccupazione</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2.1</w:t>
      </w:r>
    </w:p>
    <w:p>
      <w:r>
        <w:t>Nei considerandi dell'impugnata pronuncia, cui si rinvia, l'autorità giudiziaria cantonale ha già esposto le norme e i principi giurisprudenziali disciplinanti la materia, ricordando in particolare come il diritto alle indennità di disoccupazione sia subordinato alla residenza in Svizzera del richiedente (art. 8 cpv. 1 lett. c LADI).</w:t>
      </w:r>
    </w:p>
    <w:p>
      <w:r>
        <w:rPr>
          <w:b/>
        </w:rPr>
        <w:t>E. 2.2</w:t>
      </w:r>
    </w:p>
    <w:p>
      <w:r>
        <w:t>Oggetto del contendere è, in concreto, il tema di sapere se la ricorrente abbia risieduto in Svizzera durante il periodo dal 1° marzo al 15 aprile 2012.</w:t>
      </w:r>
    </w:p>
    <w:p>
      <w:r>
        <w:rPr>
          <w:b/>
        </w:rPr>
        <w:t>E. 3.1</w:t>
      </w:r>
    </w:p>
    <w:p>
      <w:r>
        <w:t>L'istanza precedente ha considerato che l'assicurata, iscritta alla disoccupazione dal 1° marzo 2012, aveva dimostrato di essere stata residente nei Comuni di A.________, dal 1° ottobre 2009 al 31 maggio 2011, e di T.________, dal 1° giugno 2011 al 25 gennaio 2012. Dagli atti traspariva inoltre che a partire dal 16 aprile 2012 l'interessata aveva risieduto a M.________. Nel lasso di tempo determinante, intercorso tra il 1° marzo e il 15 aprile 2012, la necessaria residenza in Svizzera non era tuttavia comprovata, non essendo stati dimostrati, per tale periodo, stretti legami con il mondo del lavoro nel nostro Paese. Di conseguenza, non poteva essere ammessa in concreto l'esistenza della necessaria dimora abituale ininterrotta e continua in Svizzera.</w:t>
      </w:r>
    </w:p>
    <w:p>
      <w:r>
        <w:rPr>
          <w:b/>
        </w:rPr>
        <w:t>E. 3.2</w:t>
      </w:r>
    </w:p>
    <w:p>
      <w:r>
        <w:t>Per parte sua, la ricorrente fa valere di avere abitato, nel periodo di disoccupazione oggetto della lite, presso la sua amica Y.________, inizialmente a E.________, poi a G.________, come confermato pure da quest'ultima. Sostiene poi di avere da parecchio tempo rinunciato al suo originario domicilio italiano a C.________ poiché, a seguito di turbate relazioni coniugali, vivrebbe separata di fatto dal marito.</w:t>
      </w:r>
    </w:p>
    <w:p>
      <w:r>
        <w:rPr>
          <w:b/>
        </w:rPr>
        <w:t>E. 4.1</w:t>
      </w:r>
    </w:p>
    <w:p>
      <w:r>
        <w:t>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w:t>
      </w:r>
    </w:p>
    <w:p>
      <w:r>
        <w:rPr>
          <w:b/>
        </w:rPr>
        <w:t>E. 4.2</w:t>
      </w:r>
    </w:p>
    <w:p>
      <w:r>
        <w:t>Dato quanto precede, il ricorso in materia di diritto pubblico merita accoglimento, gli atti essendo rinviati all'amministrazione opponente per esaminare le ulteriori condizioni cui la legge subordina il diritto a indennità di disoccupazione.</w:t>
      </w:r>
    </w:p>
    <w:p>
      <w:r>
        <w:rPr>
          <w:b/>
        </w:rPr>
        <w:t>E. 5</w:t>
      </w:r>
    </w:p>
    <w:p>
      <w:r>
        <w:t>Pur soccombendo, la Sezione cantonale del lavoro è dispensata dal versamento delle spese giudiziarie ( DTF 133 V 640 ). Visto l'esito della lite, la richiesta ricorsuale volta ad ottenere l'esonero dal pagamento di simili spese risulta priva di oggetto. Alla ricorrente, che ha agito personalmente non vengono assegnate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