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8C_796/2019 vom 27. März 2020</w:t>
      </w:r>
    </w:p>
    <w:p>
      <w:r>
        <w:t>Bundesgericht, 2020-03-27, DE</w:t>
      </w:r>
    </w:p>
    <w:p>
      <w:r>
        <w:rPr>
          <w:b/>
        </w:rPr>
        <w:t xml:space="preserve">Quelle: </w:t>
      </w:r>
      <w:r>
        <w:t>https://mcp.opencaselaw.ch/entscheid/bger_8C_796_2019</w:t>
      </w:r>
    </w:p>
    <w:p>
      <w:r>
        <w:t>FR: TF 8C_796/2019 du 27 mars 2020</w:t>
      </w:r>
    </w:p>
    <w:p>
      <w:r>
        <w:t>IT: TF 8C_796/2019 del 27 marzo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Als Rechtsfrage gilt, ob die rechtserheblichen Tatsachen vollständig festgestellt und ob der Untersuchungsgrundsatz bzw. die Beweiswürdigungsregeln nach Art. 61 lit. c ATSG beachtet wurden (nicht publ. E. 1 des Urteils BGE 141 V 585 ).</w:t>
      </w:r>
    </w:p>
    <w:p>
      <w:r>
        <w:rPr>
          <w:b/>
        </w:rPr>
        <w:t>E. 1.2</w:t>
      </w:r>
    </w:p>
    <w:p>
      <w:r>
        <w:t>Der Anspruch auf rechtliches Gehör ( Art. 29 Abs. 2 BV ) umfasst u.a. das Recht des Betroffenen, mit erheblichen Beweisanträgen gehört zu werden und an der Erhebung wesentlicher Beweise entweder mitzuwirken oder sich zumindest zum Beweisergebnis zu äussern, wenn dieses geeignet ist, den Entscheid zu beeinflussen ( BGE 138 I 232 E. 5.1 S. 237 ; 133 I 270 E. 3.1 S. 277).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(nicht. publ. E. 3.3.2 des Urteils BGE 144 II 345 ; BGE 136 I 229 E. 5.3 S. 236 ; 134 I 140 E. 5.3 S. 148).</w:t>
      </w:r>
    </w:p>
    <w:p>
      <w:r>
        <w:rPr>
          <w:b/>
        </w:rPr>
        <w:t>E. 2</w:t>
      </w:r>
    </w:p>
    <w:p>
      <w:r>
        <w:t>Streitig ist, ob die Vorinstanz Bundesrecht verletzte, indem sie die mit Einspracheentscheid vom 13. November 2018 bestätigte Verfügung der ALK vom 29. März 2018 schützte, womit Letztere den Versicherten wegen selbstverschuldeter Arbeitslosigkeit ab 1. April 2018 für die Dauer von 47 Tagen in der Anspruchsberechtigung für Arbeitslosenentschädigung einstellte.</w:t>
      </w:r>
    </w:p>
    <w:p>
      <w:r>
        <w:rPr>
          <w:b/>
        </w:rPr>
        <w:t>E. 3.1</w:t>
      </w:r>
    </w:p>
    <w:p>
      <w:r>
        <w:t>Die für die Beurteilung der erhobenen Beschwerde massgebenden gesetzlichen Bestimmungen und die von der Rechtsprechung hierzu konkretisierten Grundsätze hat das kantonale Gericht zutreffend dargelegt (vgl. Art. 30 Abs. 1 lit. a und Abs. 3 AVIG ; Art. 44 Abs. 1 lit. a und Art. 45 Abs. 3 AVIV ; BGE 112 V 242 E. 1 S. 244 f.; Urteil 8C_582/2014 vom 12. Januar 2015 E. 4). Darauf wird verwiesen.</w:t>
      </w:r>
    </w:p>
    <w:p>
      <w:r>
        <w:rPr>
          <w:b/>
        </w:rPr>
        <w:t>E. 3.2</w:t>
      </w:r>
    </w:p>
    <w:p>
      <w:r>
        <w:t>Ergänzend ist festzuhalten, dass eine Einstellung in der Anspruchsberechtigung nach Art. 20 lit. b des Übereinkommens Nr. 168 der Internationalen Arbeitsorganisation (IAO) über Beschäftigungsförderung und den Schutz gegen Arbeitslosigkeit vom 21. Juni 1988   (SR 0.822.726.8; für die Schweiz in Kraft seit dem 17. Oktober 1991, AS 1991 1914) erst zulässig ist, wenn die gekündigte Person (zumindest) eventualvorsätzlich zu ihrer Entlassung beigetragen hat. Eventualvorsatz ist anzunehmen, wenn die versicherte Person vorhersehen kann oder damit rechnen muss, dass ihr Verhalten zu einer Kündigung durch den Arbeitgeber führt, und dies in Kauf nimmt (ARV 2012 S. 294, 8C_872/2011 E. 4.1;  THOMAS NUSSBAUMER, Arbeitslosenversicherung, in: Schweizerisches Bundesverwaltungsrecht [SBVR], Soziale Sicherheit, 3. Aufl. 2016, Rz. 837 S. 2515; Urteil 8C_99/2017 vom 22. Juni 2017 E. 3).</w:t>
      </w:r>
    </w:p>
    <w:p>
      <w:r>
        <w:rPr>
          <w:b/>
        </w:rPr>
        <w:t>E. 3.3</w:t>
      </w:r>
    </w:p>
    <w:p>
      <w:r>
        <w:t>Eine Einstellung in der Anspruchsberechtigung kann nur verfügt werden, wenn das der versicherten Person zur Last gelegte Verhalten in beweismässiger Hinsicht klar feststeht ( BGE 112 V 242 E. 1 S. 245; ARV 2012 S. 294, 8C_872/2011 E. 3.2 mit Hinweisen; SVR 2006 ALV Nr. 15 S. 51, C 223/05 E. 1; je mit Hinweisen; THOMAS NUSSBAUMER, a.a.O., S. 2515 Rz. 837; Urteil 8C_19/2019 vom 1. April 2019 E. 2.4).</w:t>
      </w:r>
    </w:p>
    <w:p>
      <w:r>
        <w:rPr>
          <w:b/>
        </w:rPr>
        <w:t>E. 4.1</w:t>
      </w:r>
    </w:p>
    <w:p>
      <w:r>
        <w:t>Der Beschwerdeführer stellt nicht in Abrede, dass er 2017 mündlich und schriftlich verwarnt wurde, weil er während Zigarettenpausen nicht ausgestempelt hatte. Er bestritt jedoch stets die beiden ihm mit Kündigungsschreiben vom 16. Januar 2018 vorgeworfenen Sachverhalte vom 5. und 11. Januar 2018 und insbesondere auch die von Verwaltung und Vorinstanz übernommene Behauptung der Arbeitgeberin, diese Sachverhalte gestützt auf Aussagen von Zeugen beweisen zu können.</w:t>
      </w:r>
    </w:p>
    <w:p>
      <w:r>
        <w:rPr>
          <w:b/>
        </w:rPr>
        <w:t>E. 4.2</w:t>
      </w:r>
    </w:p>
    <w:p>
      <w:r>
        <w:t>Laut angefochtenem Entscheid sind die von der ALK dem Versicherten basierend auf dem Kündigungsschreiben vom 16. Januar 2018 mit Verfügung vom 29. März 2018 - bestätigt durch Einspracheentscheid vom 13. November 2018 - zur Last gelegten beiden Vorfälle vom 5. und 11. Januar 2018 erstellt. Nach Angaben der Arbeitgeberin würden Stichproben beweisen, dass er im Januar 2018 die Firma wiederum bewusst mit Zeitdiebstahl betrogen habe. Er habe an diesen beiden Tagen erneut falsch ausgestempelt bzw. auf Kosten der Arbeitszeit private Einkäufe erledigt. Aus den nicht unterzeichneten und nicht datierten handschriftlichen Korrekturen auf dem Zeitrapport der Arbeitgeberin zu den im Januar 2018 elektronisch erfassten Arbeitszeiten schloss die Vorinstanz, dass der Beschwerdeführer am          5. Januar 2018 statt erst um 12.17 Uhr tatsächlich gemäss handschriftlicher Korrektur schon um 12.08 Uhr und am 11. Januar 2018 statt erst um 12.06 Uhr schon um 12.02 Uhr in die Mittagspause ging. D.________, Leiter Umschlag, E.________, stellvertretender Leiter Umschlag, F.________, Leiterin Administration, und G.________, Personalverantwortliche bis Mitte Mai 2018, könnten diese von der Arbeitgeberin angeordneten "Stichproben" bezeugen. Eine Zeugeneinvernahme erübrige sich, weil "davon auszugehen [sei], dass die vier Personen den entsprechenden Tatbestand bestätigen dürften."</w:t>
      </w:r>
    </w:p>
    <w:p>
      <w:r>
        <w:rPr>
          <w:b/>
        </w:rPr>
        <w:t>E. 4.3</w:t>
      </w:r>
    </w:p>
    <w:p>
      <w:r>
        <w:t>Hiegegen wendet der Versicherte ein, die Vorinstanz übersehe, dass eben gerade keine schriftlichen oder mündlichen Aussagen der als Zeugen benannten Personen vorlägen. Weder gegenüber der ALK noch vor kantonalem Gericht hätten die angeblichen Zeugen den behaupteten Sachverhalt mündlich oder schriftlich bestätigt. Der Verfasser der handschriftlichen Korrekturen auf dem Zeiterfassungsrapport des Monats Januar 2018 sei unbekannt. Der Vorwurf der fehlerhaften Arbeitszeiterfassung im Januar 2018 beruhe lediglich auf der Behauptung der Arbeitgeberin. Diese habe er stets bestritten. Durch Nichteinvernahme der Zeugen habe die Vorinstanz den Untersuchungsgrundsatz und den Anspruch auf rechtliches Gehör in Bezug auf die Feststellung des rechtserheblichen Sachverhalts verletzt. Da der ihm vorgeworfene Kündigungsgrund nicht auf Zeugenaussagen oder anderen Beweismitteln, sondern nur auf Behauptungen der Arbeitgeberin beruhe, habe das kantonale Gericht in klar willkürlicher antizipierter Beweiswürdigung auf die Einvernahme dieser Zeugen verzichtet.</w:t>
      </w:r>
    </w:p>
    <w:p>
      <w:r>
        <w:rPr>
          <w:b/>
        </w:rPr>
        <w:t>E. 5.1</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144 V 427 E. 3.2 Hinweis).</w:t>
      </w:r>
    </w:p>
    <w:p>
      <w:r>
        <w:rPr>
          <w:b/>
        </w:rPr>
        <w:t>E. 5.2</w:t>
      </w:r>
    </w:p>
    <w:p>
      <w:r>
        <w:t>In beweismässiger Hinsicht ist für die Beurteilung der strittigen Einstellung in der Anspruchsberechtigung (E. 2) entscheidend, ob der Versicherte vorsätzlich - zumindest jedoch eventualvorsätzlich - zu seiner Entlassung beigetragen hat (E. 3.2). Die beiden ihm laut Kündigungsschreiben vom 16. Januar 2018 von der Arbeitgeberin zur Last gelegten Vorfälle vom 5. und 11. Januar 2018 (vgl. dazu E. 4.2 hievor) gehören zum rechtserheblichen Sachverhalt (vgl. E. 5.1) und müssen praxisgemäss in tatsächlicher Hinsicht klar feststehen (E. 3.3).</w:t>
      </w:r>
    </w:p>
    <w:p>
      <w:r>
        <w:rPr>
          <w:b/>
        </w:rPr>
        <w:t>E. 5.2.1</w:t>
      </w:r>
    </w:p>
    <w:p>
      <w:r>
        <w:t>Die Namen der vier Personen, die nach Angaben der Arbeitgeberin die Verfehlungen des Beschwerdeführers bezeugen können, blieben dem Letzteren bis zur Kenntnisnahme vom angefochtenen Entscheid ebenso verborgen wie allfällige Hinweise auf Beweisaussagen dieser Personen. Wie das kantonale Gericht die Namen dieser Personen in Erfahrung bringen konnte, ist weder dem angefochtenen Entscheid noch den vorinstanzlichen Verfahrensakten und auch nicht den Unterlagen der ALK zu entnehmen. Zu Recht beanstandete die Vorinstanz das Verhalten der Beschwerdegegnerin, welche die Bekanntgabe der Namen der von der Arbeitgeberin genannten vier Personen bisher ohne Rechtfertigungsgrund verweigert hatte. Zutreffend führte das kantonale Gericht aus, der versicherten Person müsse es möglich sein, die gemachten Aussagen widerlegen zu können.</w:t>
      </w:r>
    </w:p>
    <w:p>
      <w:r>
        <w:rPr>
          <w:b/>
        </w:rPr>
        <w:t>E. 5.2.2</w:t>
      </w:r>
    </w:p>
    <w:p>
      <w:r>
        <w:t>Dem Beschwerdeführer ist beizupflichten, dass solche Aussagen aktenkundig nicht vorliegen. Dass die vier genannten Personen - beweismässig erstellt - bezeugt hätten, der Versicherte habe an den Mittagen des 5. bzw. 11. Januar 2018 tatsachenwidrig erst um 12.17 bzw. 12.06 Uhr ausgestempelt, obwohl er schon um 12.08 bzw. 12.02 Uhr in die entsprechenden Mittagspausen gegangen sei, ist nicht ersichtlich und wird nicht geltend gemacht. Fehlt es mit dem Beschwerdeführer an verwertbaren Zeugenaussagen oder anderen Beweismitteln, welche das ihm von Verwaltung und Vorinstanz zur Last gelegte Verhalten in beweismässiger Hinsicht klar feststellen liessen, ist der angefochtene Entscheid mangels Feststellung des rechtserheblichen Sachverhalts aufzuheben.</w:t>
      </w:r>
    </w:p>
    <w:p>
      <w:r>
        <w:rPr>
          <w:b/>
        </w:rPr>
        <w:t>E. 5.3</w:t>
      </w:r>
    </w:p>
    <w:p>
      <w:r>
        <w:t>Indem das kantonale Gericht unter den gegebenen Umständen in antizipierter Beweiswürdigung auf ergänzende Beweismassnahmen und insbesondere die Einvernahme der Zeugen verzichtete, hat es den Gehörsanspruch ( Art. 29 Abs. 2 BV ; BGE 143 III 65 E. 5.2 S. 70 f.) des Versicherten verletzt. Denn es ist keine sachlich nachvollziehbar Begründung dafür ersichtlich, weshalb diesem Beweismittel zum vornherein jede Erheblichkeit abzusprechen wäre (vgl. BGE 114 II 289 E. 2a S. 291 und Urteil 4A_279/2019 vom 19. Februar 2020 E. 4.2.1). Hat die Vorinstanz die rechtserheblichen Tatsachen in Verletzung des Untersuchungsgrundsatzes ( Art. 61 lit. c ATSG ) unvollständig festgestellt, ist die Sache zur weiteren Abklärung des Sachverhalts zurückzuweisen. Danach hat sie über die Beschwerde neu zu entscheiden.</w:t>
      </w:r>
    </w:p>
    <w:p>
      <w:r>
        <w:rPr>
          <w:b/>
        </w:rPr>
        <w:t>E. 6</w:t>
      </w:r>
    </w:p>
    <w:p>
      <w:r>
        <w:t>Die Rückweisung der Sache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 Urteil 8C_538/2019 vom 24. Januar 2020 E. 8). Entsprechend sind die Gerichtskosten der unterliegenden Beschwerdegegnerin aufzuerlegen ( Art. 66 Abs. 1 BGG ), die dem Beschwerdeführer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