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8C_795/2020 vom 17. August 2021</w:t>
      </w:r>
    </w:p>
    <w:p>
      <w:r>
        <w:t>Bundesgericht, 2021-08-17, DE</w:t>
      </w:r>
    </w:p>
    <w:p>
      <w:r>
        <w:rPr>
          <w:b/>
        </w:rPr>
        <w:t xml:space="preserve">Quelle: </w:t>
      </w:r>
      <w:r>
        <w:t>https://mcp.opencaselaw.ch/entscheid/bger_8C_795_2020</w:t>
      </w:r>
    </w:p>
    <w:p>
      <w:r>
        <w:t>FR: TF 8C_795/2020 du 17 août 2021</w:t>
      </w:r>
    </w:p>
    <w:p>
      <w:r>
        <w:t>IT: TF 8C_795/2020 del 17 agosto 2021</w:t>
      </w:r>
    </w:p>
    <w:p>
      <w:pPr>
        <w:pStyle w:val="Heading2"/>
      </w:pPr>
      <w:r>
        <w:t>Erwägungen</w:t>
      </w:r>
    </w:p>
    <w:p>
      <w:r>
        <w:rPr>
          <w:b/>
        </w:rPr>
        <w:t>E. 1</w:t>
      </w:r>
    </w:p>
    <w:p>
      <w:r>
        <w:t>Der angefochtene Entscheid des Verwaltungsgerichts betrifft ein öffentlich-rechtliches Arbeitsverhältnis, d.h. eine öffentlich-rechtliche Angelegenheit ( Art. 82 lit. a BGG ). Aufgrund der geltend gemachten Entschädigungsansprüche handelt es sich um eine vermögensrechtliche Angelegenheit. Es liegt kein Ausschlussgrund nach Art. 83 lit. g BGG vor. Die vorinstanzliche streitge Entschädigung gegenüber dem Kanton St. Gallen übersteigt die Streitwertgrenze von Fr. 15'000.- ( Art. 51 Abs. 1 lit. a, Art. 85 Abs. 1 lit. b BGG ). Der Beschwerdeführer ist als Adressat des angefochtenen Entscheids besonders berührt und hat ein schutzwürdiges Interesse an dessen Aufhebung oder Änderung ( Art. 89 Abs. 1 BGG ). Die Beschwerde gegen den Entscheid des Verwaltungsgerichts ist somit zulässig.</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140 III 264 E. 2.3 mit Hinweisen).</w:t>
      </w:r>
    </w:p>
    <w:p>
      <w:r>
        <w:rPr>
          <w:b/>
        </w:rPr>
        <w:t>E. 2.3</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 Da keine gesetzliche Ausnahme besteht ( Art. 95 lit. c-e BGG ), ist die Prüfungsbefugnis des Bundesgerichts gegenüber kantonalem Recht auf die Verletzung verfassungsmässiger Rechte, insbesondere auf Willkür, beschränkt ( Art. 9 BV ; Urteil 8C_242/2020 vom 9. September 2020 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mit Hinweisen).</w:t>
      </w:r>
    </w:p>
    <w:p>
      <w:r>
        <w:rPr>
          <w:b/>
        </w:rPr>
        <w:t>E. 2.4</w:t>
      </w:r>
    </w:p>
    <w:p>
      <w:r>
        <w:t>Neue Tatsachen und Beweismittel dürfen nur so weit vorgebracht werden, als erst der Entscheid der Vorinstanz dazu Anlass gibt ( Art. 99 Abs. 1 BGG ; unechte Noven),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 mit Hinweisen).</w:t>
      </w:r>
    </w:p>
    <w:p>
      <w:r>
        <w:rPr>
          <w:b/>
        </w:rPr>
        <w:t>E. 3.1</w:t>
      </w:r>
    </w:p>
    <w:p>
      <w:r>
        <w:t>Streitig und im Rahmen der zulässigen Beschwerdegründe (Art. 95, 96 und Art. 97 Abs. 1 sowie 106 Abs. 2 BGG) zu prüfen ist, ob die Vorinstanz eine Rechtsverletzung beging, indem sie die Kündigung des Anstellungsverhältnisses zwischen dem Beschwerdeführer und dem Kanton St. Gallen auf Ende des Schuljahres 2016 als rechtsmissbräuchlich einstufte und unter Abweisung der Klage im Mehrbetrag den Kanton St. Gallen verpflichtete, dem Beschwerdeführer Fr. 84'504.50 brutto (= netto zuzügl. 5 % Zins ab 1. August 2016) zu bezahlen.</w:t>
      </w:r>
    </w:p>
    <w:p>
      <w:r>
        <w:rPr>
          <w:b/>
        </w:rPr>
        <w:t>E. 3.2</w:t>
      </w:r>
    </w:p>
    <w:p>
      <w:r>
        <w:t>Die hier massgebenden rechtlichen Grundlagen werden im angefochtenen Entscheid einlässlich dargelegt. Es sind dies im Wesentlichen das Mittelschulgesetz des Kantons St. Gallen vom 12. Juni 1980 (MSG; sGS 215.1) und das Personalgesetz des Kantons St. Gallen vom 25. Januar 2011 (sGS 143.1). Darauf wird verwiesen. Soweit Art. 336a OR als rechtliche Beurteilungsgrundlage herangezogen wird, ist festzuhalten, dass die Regelung des OR als ergänzendes kantonales Recht zur Anwendung gelangt. Sie gilt nicht als Bundesprivatrecht, sondern als subsidiäres Recht des Kantons, dies mit den bereits dargelegten kognitionsrechtlichen Regeln (vorstehende E. 2.4; vgl. Urteil 8C_242/2020 vom 9. September 2020 E. 3.3).</w:t>
      </w:r>
    </w:p>
    <w:p>
      <w:r>
        <w:rPr>
          <w:b/>
        </w:rPr>
        <w:t>E. 4.1</w:t>
      </w:r>
    </w:p>
    <w:p>
      <w:r>
        <w:t>Die Vorinstanz erwog, es sei zum einen zu prüfen, ob der ehemalige Rektor der Kantonsschule gegenüber dem Beschwerdeführer eine Persönlichkeits- und Fürsorgepflichtverletzung begangen habe. Zum andern stelle sich die Frage einer missbräuchlichen Kündigung. Insoweit deckten sich die Feststellungsbegehren des Beschwerdeführers mit denjenigen auf Leistung. Ein rechtliches Interesse an einer selbstständigen Feststellung des Sachverhalts bestehe nicht. Auf die entsprechenden Feststellungsbegehren trat die Vorinstanz daher nicht ein.</w:t>
      </w:r>
    </w:p>
    <w:p>
      <w:r>
        <w:rPr>
          <w:b/>
        </w:rPr>
        <w:t>E. 4.2</w:t>
      </w:r>
    </w:p>
    <w:p>
      <w:r>
        <w:t>Die (sinngemässe) Rüge des Beschwerdeführers, das kantonale Gericht habe den Anspruch auf Feststellung der Persönlichkeitsverletzung ( Art. 28a Abs. 1 Ziff. 3 ZGB ) durch den Schulleiter verletzt, weil es auf das entsprechende Feststellungsbegehren nicht eingetreten sei, zielt ins Leere. Eine offensichtlich unrichtige oder unvollständige Sachverhaltsfeststellung der Vorinstanz ist diesbezüglich, entgegen den Einwendungen in der Beschwerde, nicht ersichtlich. In willkürfreier Anwendung von Art. 79</w:t>
      </w:r>
    </w:p>
    <w:p>
      <w:r>
        <w:t>bis des Gesetzes über die Verwaltungsrechtspflege des Kantons St. Gallen vom 16. Mai 1965 (sGS 951.1; VRP) führte das kantonale Gericht aus, im Normalfall sei im Rahmen von Art. 79</w:t>
      </w:r>
    </w:p>
    <w:p>
      <w:r>
        <w:t>bis VRP eine Leistungsklage zu erheben. Ausnahmsweise sei aber auch eine gegenüber der Leistungsklage subsidiäre Feststellungsklage möglich. Diese setze im Allgemeinen ein rechtliches Interesse an der Feststellung voraus. Ein qualifiziertes Interesse sei dort zu verneinen, wo die Streitigkeit zum Gegenstand eines Leistungsklageverfahrens gemacht werden könne, was vorliegend der Fall sei. Mit Blick auf die hinsichtlich der Anwendung des kantonalen Rechts eingeschränkte bundesgerichtliche Kognition (E. 2.4 hievor) haben diese rechtlichen Ausführungen Bestand. Die Berufung auf Art. 28a Abs. 1 Ziff. 3 ZGB ändert daran nichts. Die Frage der gerichtlichen Zuständigkeit zur Beurteilung dieser nichtvermögensrechtlichen Zivilsache nach Art. 28a Abs. 1 Ziff. 3 ZGB kann dabei offen gelassen werden, da sich bereits aus materiellen Gründen hieraus nichts zu Gunsten des Beschwerdeführers gewinnen liesse. Denn gestützt auf Art. 28a Abs. 1 Ziff. 3 ZGB kann mittels Feststellungsklage verlangt werden, die Widerrechtlichkeit einer Verletzung der Persönlichkeit festzustellen, wenn sich diese weiterhin störend auswirkt. Der Feststellungsklage kommt Beseitigungsfunktion zu ( BGE 127 III 481 E. 1c/aa mit Hinweisen). Dass dies vorliegend der Fall sein soll, macht der Beschwerdeführer nicht geltend (vgl. Urteil 5A_247/2020 vom 18. Februar 2021 E. 3 ff., zur Publikation vorgesehen). Weiterungen hierzu erübrigen sich daher.</w:t>
      </w:r>
    </w:p>
    <w:p>
      <w:r>
        <w:rPr>
          <w:b/>
        </w:rPr>
        <w:t>E. 4.3</w:t>
      </w:r>
    </w:p>
    <w:p>
      <w:r>
        <w:t>Im Zusammenhang mit den Mobbing-Vorwürfen seitens des Beschwerdeführers gelangte die Vorinstanz zum Schluss, der ehemalige Rektor habe zwar seine Pflichten verletzt. So habe er ein Vorstandsmitglied der Elternvereinigung und Mutter eines zukünftigen Schülers mit E-Mail über das geplante Vorgehen der Schulleitung in Bezug auf den Beschwerdeführer informiert und insbesondere die mögliche Einleitung eines Entlassungsverfahrens erwähnt, sodass sich der Rektor wegen Verletzung des Amtsgeheimnisses strafrechtlich schuldig gemacht habe. Anlässlich der Administrativuntersuchung sei überdies der Umgang der Schulleitung mit Wandschmierereien ("Fuck A.________") vor einem Konzert des Orchesters der Kantonsschule im Jahr 2008 als persönlichkeitsverletzend eingestuft worden. Diese seien nicht rechtzeitig abgedeckt und entfernt und es sei überdies auf die Ermittlung der Täterschaft verzichtet worden. Auch die ETH-Heftanalyse und Befragung sämtlicher betroffener Schüler nach über 22 Jahren Lehrtätigkeit sei als geeignet anzusehen, den Beschwerdeführer in seiner Persönlichkeit als Lehrperson herabzuwürdigen und ihn u.a. gegenüber den Klassen in einem schlechten Licht erscheinen zu lassen. Schliesslich habe die Führung des Personaldossiers des Beschwerdeführers und die Verweigerung der Akteneinsicht in verschiedener Hinsicht gegen das Datenschutzgesetz verstossen. Diese sporadischen Vorfälle seien aber nicht als Mobbing zu qualifizieren. Die persönlichkeitsverletzenden Einzelhandlungen stünden in keinem adäquat kausalen Verhältnis zum Schaden, den der Beschwerdeführer erlitten habe. Es fehle am zeitlichen Zusammenhang zwischen den jeweiligen Handlungen bzw. Unterlassungen und seiner Arbeitsunfähigkeit. Diese seien vielmehr zeitlich konnex zur zunächst verweigerten Administrativuntersuchung. Auch die hohen Anwaltskosten seien für solch punktuelle Persönlichkeitsverletzungen nicht adäquat kausal. Die Vorinstanz verneinte daher sowohl einen Anspruch auf Schadenersatz von Fr. 90'532.50 als auch auf Genugtuung, weil keine der vorliegenden Einzelhandlungen eine ausreichend schwere Persönlichkeitsverletzung darstelle.</w:t>
      </w:r>
    </w:p>
    <w:p>
      <w:r>
        <w:rPr>
          <w:b/>
        </w:rPr>
        <w:t>E. 4.4.1</w:t>
      </w:r>
    </w:p>
    <w:p>
      <w:r>
        <w:t>Was die als missbräuchlich gerügte Kündigung betrifft, führte die Vorinstanz aus, die Missbräuchlichkeit einer Kündigung könne sich nicht nur aus dem Fehlen eines sachlichen Grundes oder aus gesetzlich verpönten Kündigungsmotiven ergeben, sondern auch aus der Art und Weise, wie eine Partei ihr Kündigungsrecht ausübe. Die Kündigung sei zudem ein Verwaltungsakt, weshalb vorgängig das rechtliche Gehör im Sinne von Art. 29 Abs. 2 BV gewährt werden müsse.</w:t>
      </w:r>
    </w:p>
    <w:p>
      <w:r>
        <w:rPr>
          <w:b/>
        </w:rPr>
        <w:t>E. 4.4.2</w:t>
      </w:r>
    </w:p>
    <w:p>
      <w:r>
        <w:t>Die Kündigung habe sich im Wesentlichen auf den Schlussbericht der Administrativuntersuchung vom 3. April 2016 gestützt. Indem der ehemalige Rektor der Schule dessen Stellungnahme zum Schlussbericht nicht abgewartet habe, sei dessen Gehörsanspruch ausreichend schwer verletzt worden, um die Kündigung als missbräuchlich zu qualifizieren. Das Vorgehen erwecke den Eindruck, die Kündigung sei von Anfang an beschlossene Sache gewesen und dass in den Augen der Schulleitung im April 2014 unbesehen von der Stellungnahme des Beschwerdeführers aufgrund der dreimonatigen Kündigungsfrist jeweils auf Ende eines Semesters habe gehandelt werden müssen, um nicht erst auf Ende des Wintersemesters kündigen zu können. Die Kündigung sei daher infolge Verletzung des rechtlichen Gehörs missbräuchlich.</w:t>
      </w:r>
    </w:p>
    <w:p>
      <w:r>
        <w:rPr>
          <w:b/>
        </w:rPr>
        <w:t>E. 4.5</w:t>
      </w:r>
    </w:p>
    <w:p>
      <w:r>
        <w:t>Die vermögensrechtlichen Folgen der missbräuchlichen Kündigung beurteilte die Vorinstanz auf der Grundlage von Art. 336a OR in Verbindung mit Art. 25 Abs. 3 PersG. Die Entschädigung in der maximal zulässigen Höhe von sechs Bruttolöhnen (vgl. Sachverhalt lit. A.f) begründete sie mit der langen Anstellungsdauer mit besonderer Nähe des Beschwerdeführers zum Arbeitgeber. Zudem berücksichtigte sie die Tatsache, dass der Beschwerdeführer mit knapp 60 Jahren kurz vor seiner ordentlichen Pensionierung gestanden sei. Die monetäre Motivation der zu frühen Kündigung, nicht nochmals sechs Monatslöhne bezahlen zu müssen, führte die Vorinstanz als zusätzlichen Grund für die zugesprochene Maximalhöhe der Entschädigung an. Einen weitergehenden Anspruch auf Schadenersatz wegen missbräuchlicher Kündigung verneinte die Vorinstanz, wie bereits dargelegt (E. 4.3).</w:t>
      </w:r>
    </w:p>
    <w:p>
      <w:r>
        <w:rPr>
          <w:b/>
        </w:rPr>
        <w:t>E. 5.1</w:t>
      </w:r>
    </w:p>
    <w:p>
      <w:r>
        <w:t>Der Beschwerdeführer rügt, hinsichtlich der Kündigung seien nicht nur Verfahrensfehler gemacht worden. Der dieser zugrunde liegende Schlussbericht der Administrativuntersuchung sei unverwertbar, weil er von einer Person verfasst worden sei, die als befangen in den Ausstand hätte treten sollen. Seine verfassungsmässigen Rechte auf Behandlung durch eine unabhängige und unbefangene Person seien verletzt (Art. 29 Abs. 1 i.V.m. Art. 30 BV bzw. Art. 4 Abs. 1 lit. e der Verfassung des Kantons St. Gallen [KV SG, sGS 111.1]). Es seien schlicht keine sachlichen Gründe für eine Kündigung vorhanden gewesen. Dies habe die Vorinstanz ausser Acht gelassen. Die Erkenntnisse der Administrativuntersuchung seien daher unbeachtlich, soweit sie zulasten des Beschwerdeführers gingen. Die vollständige Unverwertbarkeit des Untersuchungsberichts sei deshalb von Bedeutung, weil die Vorinstanz im Wesentlichen gestützt auf die Ergebnisse der Administrativuntersuchung das Vorliegen von Mobbing verneint habe.</w:t>
      </w:r>
    </w:p>
    <w:p>
      <w:r>
        <w:rPr>
          <w:b/>
        </w:rPr>
        <w:t>E. 5.2.1</w:t>
      </w:r>
    </w:p>
    <w:p>
      <w:r>
        <w:t>Die Befangenheit des mit der Administrativuntersuchung beauftragten C.________ wird mit seiner damaligen Stellung als Präsident der Rekursstelle Volksschule und dem Umstand begründet, dass dieser vormaliger Leiter des Rechtsdienstes des St. Galler Bildungsdepartements gewesen sei. Dies habe der Beschwerdeführer erst gegen Ende der Administrativuntersuchung erfahren. In seiner Stellungnahme zum Abschlussbericht vom 29. April 2016 wurde keine Befangenheitsrüge vorgebracht. 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137 V 210 E. 6.1.1; 135 III 334 E. 2.2; 132 V 93 E. 7.4.2; 130 III 66 E. 4.3; je mit Hinweisen). So sind insbesondere verspätet vorgebrachte Ausstandsgründe nicht zu berücksichtigen resp. verwirkt ( BGE 143 V 66 E. 4.3 ; 140 I 271 E. 8.4.5; SVR 2006 UV Nr. 20 S. 70 E. 4.5, U 303/05).</w:t>
      </w:r>
    </w:p>
    <w:p>
      <w:r>
        <w:t>Unabhängig davon, ob die Rüge der Befangenheit überhaupt noch erhoben werden kann, geht dieser Einwand fehl, wie sich aus dem Nachfolgenden ergibt:</w:t>
      </w:r>
    </w:p>
    <w:p>
      <w:r>
        <w:rPr>
          <w:b/>
        </w:rPr>
        <w:t>E. 5.2.2</w:t>
      </w:r>
    </w:p>
    <w:p>
      <w:r>
        <w:t>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132 V 93 E. 7.1; Urteil 8C_62/2019 vom 9. August 2019). Somit müssen im Verwaltungsverfahren Personen, die Entscheidungen über Rechte und Pflichten zu treffen oder vorzubereiten haben, darunter auch Sachverständige, in den Ausstand treten, wenn sie in der Sache ein persönliches Interesse haben oder aus anderen Gründen in der Sache befangen sein könnten ( BGE 137 V 210 E. 2.1.3).</w:t>
      </w:r>
    </w:p>
    <w:p>
      <w:r>
        <w:t>Die Tatsache allein, dass der mit der Administrativuntersuchung beauftragte C.________ vor über 30 Jahren beim damaligen Erziehungsdepartement des Kantons St. Gallen angestellt gewesen war, lässt ihn weder als befangen noch als nicht hinreichend unabhängig erscheinen. Dasselbe gilt für die Tatsache, dass dieser auch Präsident der Rekursstelle Volksschule war. Wie der Beschwerdegegner in seiner Stellungnahme vom 23. April 2021 ausführt, wird der Präsident der Rekursstelle zwar vom Bildungsrat (ehemals Erziehungsrat) gewählt, fungiert als eigenständige Rechtsmittelinstanz aber unabhängig und untersteht weder dessen fachlicher Aufsicht noch ist er weisungsgebunden. Nachdem die Rekursstelle einzig im Volksschul- und nicht im Mittelschulbereich amtet, sind auch insofern keine Tatsachen erkennbar, die das Misstrauen in die Unbefangenheit und damit in die Unparteilichkeit von C.________ objektiv rechtfertigten und damit eine objektive, ergebnisoffene Untersuchung in Frage stellten. Dass dieser seinen Abschlussbericht nicht neutral und sachlich abgefasst haben sollte, ist nicht ersichtlich und wird auch nicht geltend gemacht ( BGE 132 V 93 E. 7.2.2). Damit durfte die Vorinstanz bei ihrer Beurteilung der Streitsache auf die Ergebnisse der Administrativuntersuchung abstellen.</w:t>
      </w:r>
    </w:p>
    <w:p>
      <w:r>
        <w:rPr>
          <w:b/>
        </w:rPr>
        <w:t>E. 5.3.1</w:t>
      </w:r>
    </w:p>
    <w:p>
      <w:r>
        <w:t>Einseitige, willkürliche Beweiswürdigung hinsichtlich des behaupteten Mobbings lässt sich der Vorinstanz ferner nicht vorwerfen. Entgegen der Auffassung des Beschwerdeführers trifft namentlich nicht zu, dass diese einzig gestützt auf fünf arbiträr herausgegriffene Vorfälle der im Schlussbericht der Administrativuntersuchung genannten Handlungen Mobbing verneint hat. Mit Blick darauf, dass die Vorinstanz feststellte, die übrigen Vorwürfe hätten sich, insbesondere betreffend Amtsmissbrauch und Körperverletzung, nicht erhärten lassen, liegt kein einseitiges, willkürliches Abstützen auf den Bericht vor. Dass sie jedes einzelne dem Schulleiter zur Last gelegtes Fehlverhalten nicht nochmals erwähnte, wie vom Beschwerdeführer moniert, ändert daran nichts.</w:t>
      </w:r>
    </w:p>
    <w:p>
      <w:r>
        <w:rPr>
          <w:b/>
        </w:rPr>
        <w:t>E. 5.3.2</w:t>
      </w:r>
    </w:p>
    <w:p>
      <w:r>
        <w:t>Die Vorinstanz hat vielmehr den Begriff des Mobbings in Einklang mit der Rechtsprechung ausgelegt (vgl. Urteile 8C_107/2018 vom 7. August 2018 E. 5; 8C_251/2017 vom 22. Juni 2017 E. 5.1; 8C_446/2010 vom 25. Januar 2011 E. 4.1) und die notwendigen Merkmale bezüglich Intensität und Dauer geprüft. Im Rahmen der letztinstanzlichen Kognition bedarf der kantonale Entscheid bezüglich des verneinten Mobbings infolge fehlender Intensität und Dauer der Handlungen keiner Korrektur durch das Bundesgericht.</w:t>
      </w:r>
    </w:p>
    <w:p>
      <w:r>
        <w:rPr>
          <w:b/>
        </w:rPr>
        <w:t>E. 5.4</w:t>
      </w:r>
    </w:p>
    <w:p>
      <w:r>
        <w:t>Was die Forderung des Beschwerdeführers nach einer Genugtuung gemäss Art. 49 OR in Verbindung mit Art. 8 PersG wegen der geltend gemachten Persönlichkeitsverletzungen betrifft, hat die Vorinstanz Pflichtverletzungen durch den Schulleiter bejaht (siehe vorstehende E. 4.3). Sie führte jedoch zutreffend aus, dass eine Kumulation von Entschädigung nach Art. 336a OR und Genugtuung nach Art. 49 OR ausserordentlichen Situationen vorbehalten bleibe, in denen die Persönlichkeitsverletzung nicht allein durch die Zusprechung einer Entschädigung kompensiert sei. Denn die im Falle einer ungerechtfertigten Entlassung in Art. 336a OR vorgesehene Entschädigung deckt grundsätzlich alle immateriellen Schäden ab, die der entlassene Arbeitnehmer erlitten hat. Die Vorinstanz durfte hier annehmen, dass die Verletzung der Persönlichkeitsrechte des Beschwerdeführers nicht so schwerwiegend ist, dass eine Entschädigung in der Höhe von sechs Monatslöhnen nicht ausreichen würde, um den Schaden zu ersetzen (vgl. BGE 135 III 405 E. 3.1 ff. mit Hinweisen; Urteil 4A_482/2017 vom 17. Juli 2018 E. 4.1), weshalb die Verneinung eines sechs Monatslöhne übersteigenden Schadenersatzanspruchs in der geforderten Höhe von Fr. 90'532.50 (nebst 5 % Zins ab 1. August 2016) vor Bundesrecht stand hält. Bei der gegebenen Sach- und Rechtslage ist es letztinstanzlich ebenso wenig zu beanstanden, dass die Vorinstanz die Voraussetzungen für eine zur Entschädigung nach Art. 336a OR kumulativ geschuldeten Genugtuung verneinte, wie sich auch aus den nachstehenden Darlegungen ergibt. Eine willkürliche Anwendung kantonalen Rechts ist nicht auszumachen.</w:t>
      </w:r>
    </w:p>
    <w:p>
      <w:r>
        <w:rPr>
          <w:b/>
        </w:rPr>
        <w:t>E. 5.5</w:t>
      </w:r>
    </w:p>
    <w:p>
      <w:r>
        <w:t>Die in der Beschwerde geltend gemachten Persönlichkeitsverletzungen durch das Bildungsdepartement, soweit nicht ohnehin unzulässige neue Vorbringen im Sinne von Art. 99 Abs. 1 BGG darstellend (vgl. vorstehende E. 2.5), da die Behauptungen teilweise über das im vorinstanzlichen Verfahren erstmals anlässlich der Hauptverhandlung Vorgebrachte hinausgehen, hat die Vorinstanz durchaus in ihre rechtliche Würdigung miteinbezogen. Sie setzte sich mit allfälligen Fürsorgepflichtverletzungen des Beschwerdegegners hinreichend und ohne Gehörsverletzung auseinander und verneinte ohne in Willkür zu verfallen eine solche Verletzung der Fürsorgepflichten (E. 2.2. u. 2.3 des angefochtenen Entscheids). Die diesbezügliche Rüge geht daher fehl. Selbst wenn Persönlichkeitsverletzungen durch das Bildungsamt zu bejahen wären, wie der Beschwerdeführer vorbringt, vermag er nicht darzutun, dass ausserordentliche Umstände vorliegen würden, die die Vorinstanz hinsichtlich gebotener Kumulation von Entschädigung in maximal zulässiger Höhe und Genugtuung willkürlich ausser Acht gelassen haben soll. Der vorinstanzliche Verzicht auf die Zusprechung einer Genugtuung ist auch unter diesem Aspekt zu schützen. Damit hat es beim vorinstanzlichen Entscheid sein Bewenden.</w:t>
      </w:r>
    </w:p>
    <w:p>
      <w:r>
        <w:rPr>
          <w:b/>
        </w:rPr>
        <w:t>E. 6</w:t>
      </w:r>
    </w:p>
    <w:p>
      <w:r>
        <w:t>Dem Verfahrensausgang entsprechend sind die Gerichtskosten dem Beschwerdeführer aufzuerlegen ( Art. 66 Abs. 1 BGG ). Dem Beschwerdegegner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