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8C_795/2019 vom 25. März 2020</w:t>
      </w:r>
    </w:p>
    <w:p>
      <w:r>
        <w:t>Bundesgericht, 2020-03-25, DE</w:t>
      </w:r>
    </w:p>
    <w:p>
      <w:r>
        <w:rPr>
          <w:b/>
        </w:rPr>
        <w:t xml:space="preserve">Quelle: </w:t>
      </w:r>
      <w:r>
        <w:t>https://mcp.opencaselaw.ch/entscheid/bger_8C_795_2019</w:t>
      </w:r>
    </w:p>
    <w:p>
      <w:r>
        <w:t>FR: TF 8C_795/2019 du 25 mars 2020</w:t>
      </w:r>
    </w:p>
    <w:p>
      <w:r>
        <w:t>IT: TF 8C_795/2019 del 25 marzo 2020</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Es steht fest und ist unbestritten, dass die laufende Rente des Versicherten (Invaliditätsgrad: 32 %) wegen einer revisionsrelevanten Verschlechterung (vgl. Art. 17 Abs. 1 ATSG ) seines Gesundheitszustandes auf den 1. Dezember 2016 anzupassen und daher der neu massgebende Invaliditätsgrad ohne Bindung an frühere Beurteilungen zu bestimmen ist (vgl. BGE 141 V 9 E. 2.3 S. 10 f. und SVR 2017 UV Nr. 41, 8C_833/2016 E. 4.2). Streitig und zu prüfen ist demgegenüber, ob der Beschwerdeführer ab 1. Dezember 2016 Anspruch auf eine höhere als die von der Vorinstanz bestätigte Rente (Invaliditätsgrad: 41 %) hat.</w:t>
      </w:r>
    </w:p>
    <w:p>
      <w:r>
        <w:rPr>
          <w:b/>
        </w:rPr>
        <w:t>E. 3.1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Für die Ermittlung des Valideneinkommens ist entscheidend, was der Versicherte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129 V 222 E. 4.3.1 S. 224; RKUV 2000 Nr. U 400 S. 381, U 297/99 E. 2a, 1993 Nr. U 168 S. 101, U 110/92 E. 3b).</w:t>
      </w:r>
    </w:p>
    <w:p>
      <w:r>
        <w:rPr>
          <w:b/>
        </w:rPr>
        <w:t>E. 4.1</w:t>
      </w:r>
    </w:p>
    <w:p>
      <w:r>
        <w:t>Das kantonale Gericht hat erwogen, der Versicherte wäre als Gesunder weiterhin bei der B.________ AG arbeitstätig. Entsprechend den Angaben dieser Gesellschaft ging es für das Jahr 2016 von einem Valideneinkommen von Fr. 101'907.- aus. Aus dem Vergleich dieses Valideneinkommens mit dem unbestrittenen Invalideneinkommen von Fr. 60'060.- ergebe sich eine Einkommenseinbusse und damit ein Invaliditätsgrad von 41 %. Der Beschwerdeführer bringt dagegen vor, diese Gesellschaft habe in den Jahren 2011 bis 2015 keine und im Jahre 2016 nur eine geringe Lohnerhöhung gewährt, so dass sein Verbleib bei ihr als Gesunder nicht als überwiegend wahrscheinlich erscheine. Es sei daher das Einkommen bei der B.________ AG für das Jahr 2011 von Fr. 101'400.- an die branchenübliche Nominallohnentwicklung bis zum Jahr 2016 anzupassen, womit sich ein Valideneinkommen von Fr. 105'456.- und damit eine Erwerbseinbusse von 43.11 % ergebe.</w:t>
      </w:r>
    </w:p>
    <w:p>
      <w:r>
        <w:rPr>
          <w:b/>
        </w:rPr>
        <w:t>E. 4.2</w:t>
      </w:r>
    </w:p>
    <w:p>
      <w:r>
        <w:t>Es steht fest und ist unbestritten, dass der Versicherte auch ohne den Unfall vom 28. November 1992 bis mindestens 2008 bei seiner bisherige Arbeitgeberin verblieben wäre. Nicht näher geprüft zu werden braucht die Frage, ob - mit der Vorinstanz - das von diesem Unternehmen bescheinigte hypothetische Einkommen als überdurchschnittlich angesehen werden muss, oder ob es sich dabei um einen marktüblichen Verdienst handelt. Auch der Versicherte räumt ein, dass das Lohnniveau bei seiner bisherigen Arbeitgeberin jedenfalls keinen Grund zur Annahme eines hypothetischen Stellenwechsels geboten hat.</w:t>
      </w:r>
    </w:p>
    <w:p>
      <w:r>
        <w:rPr>
          <w:b/>
        </w:rPr>
        <w:t>E. 4.3</w:t>
      </w:r>
    </w:p>
    <w:p>
      <w:r>
        <w:t>Der Beschwerdeführer macht indes weiter geltend, in den Jahren 2009 bis 2016 habe sich seine bisherige Arbeitgeberin in einer schweren finanziellen Krise befunden, weshalb es auch zu Stellenstreichungen und Entlassungen gekommen sei. Allerdings fehlen jegliche Hinweise dafür, dass seine Stelle als langjähriger Mitarbeiter konkret gefährdet gewesen wäre und er als Gesunder aufgrund einer Kündigung von Seiten der Arbeitgeberin eine neue Erwerbstätigkeit hätte suchen müssen. Somit kann auf Weiterungen zur Frage der Finanzlage seiner bisherigen Arbeitgeberin und damit auch zur Zulässigkeit der von ihm letztinstanzlich erstmals aufgelegten Beweismittel (vgl. Art. 99 Abs. 1 BGG ) mangels Relevanz für die vorliegend streitigen Belange verzichtet werden.</w:t>
      </w:r>
    </w:p>
    <w:p>
      <w:r>
        <w:rPr>
          <w:b/>
        </w:rPr>
        <w:t>E. 4.4</w:t>
      </w:r>
    </w:p>
    <w:p>
      <w:r>
        <w:t>Fest steht demgegenüber, dass seine bisherige Arbeitgeberin, wäre der Beschwerdeführer bei ihr verblieben, ihm in den Jahren 2011 bis 2015 keine, und im Jahre 2016 nur eine geringe Lohnerhöhung gewährt hätte. Daraus leitet der Versicherte ab, er hätte sich in der Zeit nach 2011 als Gesunder eine besser bezahlte Tätigkeit bei einem wirtschaftlich gesunden Unternehmen gesucht.</w:t>
      </w:r>
    </w:p>
    <w:p>
      <w:r>
        <w:rPr>
          <w:b/>
        </w:rPr>
        <w:t>E. 4.4.1</w:t>
      </w:r>
    </w:p>
    <w:p>
      <w:r>
        <w:t>Das Ausbleiben von Lohnanpassungen aufgrund der finanziellen Situation des Arbeitgebers bildet, wie die Vorinstanz zu Recht ausführt, für den Arbeitnehmer zumindest in den ersten Jahren in aller Regel noch keinen Anlass, sich nach einer beruflichen Veränderung umzusehen, welche unter Umständen doch auch mit erheblichen Umtrieben und finanziellen Einbussen verbunden sein könnte. Hält eine solche Lohnstagnierung indessen über mehrere Jahre an, so kann dies bei stetig ansteigender Differenz zu andernorts gebotenen branchenüblichen Löhnen dazu führen, dass die Annahme, der Arbeitnehmer würde dennoch keinen Stellenwechsel ins Auge fassen, nicht mehr als realistisch betrachtet werden kann (RKUV 2005 Nr. U 538 S. 112, U 66/02 E. 4.1.1, vgl. auch Urteil 9C_414/2011 vom 11. Juli 2011 E. 4.3).</w:t>
      </w:r>
    </w:p>
    <w:p>
      <w:r>
        <w:rPr>
          <w:b/>
        </w:rPr>
        <w:t>E. 4.4.2</w:t>
      </w:r>
    </w:p>
    <w:p>
      <w:r>
        <w:t>Entgegen den Vorbringen des Versicherten erscheint es aufgrund der gesamten Umstände nicht als unrealistisch, dass er als Gesunder trotz der Lohnstagnierung an seiner Stelle bei der bisherigen Arbeitgeberin festgehalten hätte. So arbeitete er seit 1982 und damit seit seinem sechzehnten Lebensjahr bei der gleichen Arbeitgeberin. Er hat damit seine gesamte bisherige Berufskarriere bei dieser verbracht und stand im Jahre 2011, mithin zu Beginn der geltend gemachten Lohnstagnierung, in seinem 29. Dienstjahr. Aufgrund seiner bisherigen Treue erscheint es mit dem kantonalen Gericht nicht als wahrscheinlich, dass er einzig aufgrund ausbleibender Lohnerhöhungen die Stelle bei seiner bisherigen Arbeitgeberin aufgegeben hätte. Dies gilt umso mehr, als in Zeiten negativer Teuerung - wie dies für die Zeit von 2011 bis 2015 zutrifft - ausbleibenden Nominallohnerhöhungen nicht die gleiche Bedeutung zukommen kann, wie in Zeiten hoher Inflationsraten.</w:t>
      </w:r>
    </w:p>
    <w:p>
      <w:r>
        <w:rPr>
          <w:b/>
        </w:rPr>
        <w:t>E. 4.5</w:t>
      </w:r>
    </w:p>
    <w:p>
      <w:r>
        <w:t>Die vorinstanzliche Vorgehensweise, das Valideneinkommen aufgrund der Lohnangaben der bisherigen Arbeitgeberin des Beschwerdeführers zu bestimmen, ist demnach nicht zu beanstanden. Die weiteren Aspekte der Invaliditätsbemessung blieben letztinstanzlich unbestritten. Die Beschwerde des Versicherten ist somit ohne Weiterungen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