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8C_794/2019 vom 29. April 2020</w:t>
      </w:r>
    </w:p>
    <w:p>
      <w:r>
        <w:t>Bundesgericht, 2020-04-29, DE</w:t>
      </w:r>
    </w:p>
    <w:p>
      <w:r>
        <w:rPr>
          <w:b/>
        </w:rPr>
        <w:t xml:space="preserve">Quelle: </w:t>
      </w:r>
      <w:r>
        <w:t>https://mcp.opencaselaw.ch/entscheid/bger_8C_794_2019</w:t>
      </w:r>
    </w:p>
    <w:p>
      <w:r>
        <w:t>FR: TF 8C_794/2019 du 29 avril 2020</w:t>
      </w:r>
    </w:p>
    <w:p>
      <w:r>
        <w:t>IT: TF 8C_794/2019 del 29 aprile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die Vorinstanz zu Recht den Einspracheentscheid der Arbeitslosenkasse vom 9. April 2018 bestätigt hat, wonach der versicherte Verdienst von ursprünglich Fr. 7616.- rückwirkend ab der Kontrollperiode Februar 2018 um 20 % (entsprechend der Höhe des von der IV-Stelle ermittelten Invaliditätsgrades gemäss Verfügung vom 26. Januar 2018) auf Fr. 6093.- herabzusetzen war.</w:t>
      </w:r>
    </w:p>
    <w:p>
      <w:r>
        <w:rPr>
          <w:b/>
        </w:rPr>
        <w:t>E. 3.1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Nach Art. 15 Abs. 2 Satz 1 AVIG gilt der körperlich oder geistig Behinderte als vermittlungsfähig, wenn ihm bei ausgeglichener Arbeitsmarktlage, unter Berücksichtigung seiner Behinderung, auf dem Arbeitsmarkt eine zumutbare Arbeit vermittelt werden könnte.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3.2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Bei Versicherten, die unmittelbar vor oder während der Arbeitslosigkeit eine gesundheitsbedingte Beeinträchtigung ihrer Erwerbsfähigkeit erleiden, ist gemäss Art. 40b AVIV der Verdienst massgebend, welcher der verbleibenden Erwerbsfähigkeit entspricht.</w:t>
      </w:r>
    </w:p>
    <w:p>
      <w:r>
        <w:rPr>
          <w:b/>
        </w:rPr>
        <w:t>E. 3.3</w:t>
      </w:r>
    </w:p>
    <w:p>
      <w:r>
        <w:t>Mit BGE 133 V 524 erkannte das Bundesgericht, dass Art. 40b AVIV - entgegen der eng umschriebenen ratio legis in BGE 132 V 357 - nicht allein die Leistungskoordination zwischen Arbeitslosen- und Invalidenversicherung, sondern - in allgemeiner Weise - die Abgrenzung der Zuständigkeit der Arbeitslosenversicherung gegenüber anderen Versicherungsträgern nach Massgabe der Erwerbsfähigkeit betrifft, weshalb eine Korrektur des versicherten Verdienstes im Sinne der Verordnungsbestimmung grundsätzlich auch bei nicht rentenbegründender Invalidität zu erfolgen hat.</w:t>
      </w:r>
    </w:p>
    <w:p>
      <w:r>
        <w:rPr>
          <w:b/>
        </w:rPr>
        <w:t>E. 4.1</w:t>
      </w:r>
    </w:p>
    <w:p>
      <w:r>
        <w:t>Der Beschwerdeführer macht geltend, die Vorinstanz verkenne, dass es darum gehe, wie sie selber darlege, zu prüfen, ob die von der Invalidenversicherung bemessene Erwerbsunfähigkeit für die Belange der Arbeitslosenversicherung als unhaltbar erscheine. Sinn und Zweck des Art. 40b AVIV sei, dass die Arbeitslosenversicherung der Bemessung des versicherten Verdienstes nicht ein Einkommen zugrunde lege, das die versicherte Person vor den die Arbeitsfähigkeit beeinträchtigenden gesundheitlichen Beschwerden erzielt habe. Das von ihm vor Eintritt der Arbeitslosigkeit bezogene Taggeld der Invalidenversicherung basiere zwar auf dem Einkommen, das er vor Eintritt der gesundheitlichen Einschränkungen erreicht habe, indessen habe das von der Invalidenversicherung ermittelte Taggeld bereits auf einem um 20 % reduzierten versicherten Verdienst beruht. Im Lichte der ratio legis des Art. 40b AVIV habe das kantonale Gericht Bundesrecht verletzt, wenn es in Bestätigung des Einspracheentscheids der Arbeitslosenkasse vom 9. April 2018 den versicherten Verdienst erneut um 20 % nach unten angepasst habe.</w:t>
      </w:r>
    </w:p>
    <w:p>
      <w:r>
        <w:rPr>
          <w:b/>
        </w:rPr>
        <w:t>E. 4.2</w:t>
      </w:r>
    </w:p>
    <w:p>
      <w:r>
        <w:t>Diesen Vorbringen kann nicht beigepflichtet werden. Der Beschwerdeführer absolvierte während längerer Zeit Eingliederungsmassnahmen der Invalidenversicherung und erhielt dafür ein Einkommen in Form von Taggeld, das der Höhe nach gestützt auf den vor Eintritt der gesundheitlichen Beeinträchtigung erzielten tatsächlichen Verdienst ermittelt worden war. Mit Blick auf Art. 37 Abs. 1 AVIV ist nicht einzusehen, weshalb die Arbeitslosenversicherung zur Bemessung des versicherten Verdienstes nicht auf das von der Invalidenversicherung während der längere Zeit andauernden beruflichen Eingliederungsmassnahmen zugesprochene Taggeld hätte abstellen sollen, wie das kantonale Gericht mit Hinweis auf die Rechtsprechung (Urteile 8C_829/2016 vom 30. Juni 2017 E. 6 und 8C_821/2017 vom 4. Juni 2018 E. 7.3) zutreffend erkannt hat. Entscheidend ist allein, was der Beschwerdeführer durchschnittlich vor dem Beginn der Rahmenfrist für den Leistungsbezug verdient hatte (vgl. Art. 37 Abs. 1 AVIV ). Mit Blick auf die Rechtslage ist die Beschwerde in allen Teilen abzuweisen.</w:t>
      </w:r>
    </w:p>
    <w:p>
      <w:r>
        <w:rPr>
          <w:b/>
        </w:rPr>
        <w:t>E. 5</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