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8C_792/2019 vom 28. Februar 2020</w:t>
      </w:r>
    </w:p>
    <w:p>
      <w:r>
        <w:t>Bundesgericht, 2020-02-28, DE</w:t>
      </w:r>
    </w:p>
    <w:p>
      <w:r>
        <w:rPr>
          <w:b/>
        </w:rPr>
        <w:t xml:space="preserve">Quelle: </w:t>
      </w:r>
      <w:r>
        <w:t>https://mcp.opencaselaw.ch/entscheid/bger_8C_792_2019</w:t>
      </w:r>
    </w:p>
    <w:p>
      <w:r>
        <w:t>FR: TF 8C_792/2019 du 28 février 2020</w:t>
      </w:r>
    </w:p>
    <w:p>
      <w:r>
        <w:t>IT: TF 8C_792/2019 del 28 febbraio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 wie von der IV-Stelle verfügt - einen Anspruch auf Umschulung verneinte.</w:t>
      </w:r>
    </w:p>
    <w:p>
      <w:r>
        <w:rPr>
          <w:b/>
        </w:rPr>
        <w:t>E. 3.1</w:t>
      </w:r>
    </w:p>
    <w:p>
      <w:r>
        <w:t>Der Versicherte hat gemäss Art. 17 Abs. 1 IVG Anspruch auf Umschulung auf eine neue Erwerbstätigkeit,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130 V 488 E. 4.2 S. 489 f.; Urteil 8C_808/2017 vom 11. Januar 2018 E. 3). Dabei setzt der Umschulungsanspruch grundsätzlich eine Mindesterwerbseinbusse von rund 20 % in den für die versicherte Person ohne zusätzliche Ausbildung offenstehenden, noch zumutbaren Erwerbstätigkeiten voraus ( BGE 130 V 488 E. 4.2 S. 489 f., 124 V 108 E. 3 S. 111).</w:t>
      </w:r>
    </w:p>
    <w:p>
      <w:r>
        <w:rPr>
          <w:b/>
        </w:rPr>
        <w:t>E. 3.2</w:t>
      </w:r>
    </w:p>
    <w:p>
      <w:r>
        <w:t>Der Anspruch auf Eingliederungsmassnahmen besteht gemäss Art. 8 Abs. 1bis IVG unabhängig von der Ausübung einer Erwerbstätigkeit vor Eintritt der Invalidität. Bei der Festlegung der Massnahmen ist die gesamte noch zu erwartende Dauer des Erwerbslebens zu berücksichtigen. Darunter ist die verbleibende Zeitspanne zwischen der Anmeldung zum Leistungsbezug bis zum ordentlichen Pensionierungsalter gemäss Art. 21 Abs. 1 AHVG zu verstehen (vgl. BGE 143 V 190 E. 7.4 S. 199)</w:t>
      </w:r>
    </w:p>
    <w:p>
      <w:r>
        <w:rPr>
          <w:b/>
        </w:rPr>
        <w:t>E. 4.1</w:t>
      </w:r>
    </w:p>
    <w:p>
      <w:r>
        <w:t>Das kantonale Gericht hat in seiner Hauptbegründung erwogen, eine Umschulung des Versicherten wäre zeitlich nicht mehr angemessen, da dieser im Zeitpunkt der angefochtenen Verfügung, mithin am 20. Juni 2018, bereits 60 Jahre alt gewesen sei. Wie der Beschwerdeführer indessen zu Recht geltend macht, verstösst diese Argumentation gegen Bundesrecht: Massgebender Zeitpunkt für die Beurteilung der zeitlichen Angemessenheit im Sinne von Art. 8 Abs. 1bis Satz 2 IVG ist nicht der Verfügungszeitpunkt, sondern das Datum der Gesuchstellung (vgl. 3.2 hievor). Der Versicherte meldete sich am 5. Mai 2014 bei der Invalidenversicherung zum Leistungsbezug an; damals war er noch nicht ganz 56 Jahre alt und hatte damit noch eine Aktivitätsdauer von etwas über neun Jahren vor sich.</w:t>
      </w:r>
    </w:p>
    <w:p>
      <w:r>
        <w:rPr>
          <w:b/>
        </w:rPr>
        <w:t>E. 4.2</w:t>
      </w:r>
    </w:p>
    <w:p>
      <w:r>
        <w:t>Im Sinne einer Eventualbegründung hat die Vorinstanz weiter erwogen, selbst bei einem hypothetischen Beginn der Umschulung im Zeitpunkt des Unfalls wäre eine solche, da mindestens vier Jahre in Anspruch nehmend, nicht mehr verhältnismässig gewesen. Wie der Versicherte dagegen zutreffend einwendet, ist indessen nicht nachvollziehbar, weshalb die Vorinstanz zwingend von einer dermassen langen Umschulung ausgeht. Bereits aufgrund des allgemeinen Verhältnismässigkeitsprinzips wäre vor Inangriffnahme einer Massnahme von dieser Dauer zu prüfen, ob das Eingliederungsziel nicht auch mit einer kürzeren Umschulung erreicht werden könnte. Dabei bietet es sich an, wenn immer möglich von einer Umschulung in ein völlig neues Berufsfeld abzusehen und an die bereits vorhandenen Kenntnisse und Erfahrungen anzuknüpfen. Eine solche, bloss ein- oder zweijährige, Umschulung wäre aber - jedenfalls wenn man von den in der Beschwerde geltend gemachten Ausbildungskosten ausgeht - auch bei einem 56-jährigen Versicherten noch ohne weiteres angemessen.</w:t>
      </w:r>
    </w:p>
    <w:p>
      <w:r>
        <w:rPr>
          <w:b/>
        </w:rPr>
        <w:t>E. 4.3</w:t>
      </w:r>
    </w:p>
    <w:p>
      <w:r>
        <w:t>Damit hat das kantonale Gericht Bundesrecht verletzt, als es jeglichen Umschulungsanspruch des Versicherten aufgrund zeitlicher Unangemessenheit verneinte. Die Beschwerde ist demgemäss teilweise gutzuheissen und die Sache an die IV-Stelle zurückzuweisen, damit diese einen Umschulungsanspruch - insbesondere einen Anspruch auf eine weniger als vier Jahre dauernde Massnahme - des Versicherten neu prüfe. Dabei wird sie zu beachten haben, dass es einerseits in der Tat zu kurz greift, einen solchen Anspruch einzig mit dem Hinweis auf die volle Arbeitsfähigkeit in einer leidensangepassten Tätigkeit zu verneinen. Andererseits ist aber entgegen den bundesrechtswidrigen Erwägungen der Vorinstanz auch daran zu erinnern, dass der Umschulungsanspruch grundsätzlich eine Mindesterwerbseinbusse von rund 20 % in den für die versicherte Person ohne zusätzliche Ausbildung offenstehenden, noch zumutbaren Erwerbstätigkeiten voraussetzt (vgl. E. 3.1 hievor). Soweit weitergehend ist die Beschwerde abzuweisen.</w:t>
      </w:r>
    </w:p>
    <w:p>
      <w:r>
        <w:rPr>
          <w:b/>
        </w:rPr>
        <w:t>E. 5</w:t>
      </w:r>
    </w:p>
    <w:p>
      <w:r>
        <w:t>Die Rückweisung der Sache zu erneutem Entscheid gilt für die Frage der Auferlegung der Gerichtskosten sowie der Parteientschädigung als vollständiges Obsiegen im Sinn von Art. 66 Abs. 1 und Art. 68 Abs. 1 und 2 BGG ( BGE 141 V 281 E. 11.1 S. 312).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