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8C_791/2012 vom 6. März 2013</w:t>
      </w:r>
    </w:p>
    <w:p>
      <w:r>
        <w:t>Bundesgericht, 2013-03-06, DE</w:t>
      </w:r>
    </w:p>
    <w:p>
      <w:r>
        <w:rPr>
          <w:b/>
        </w:rPr>
        <w:t xml:space="preserve">Quelle: </w:t>
      </w:r>
      <w:r>
        <w:t>https://mcp.opencaselaw.ch/entscheid/bger_8C_791_2012</w:t>
      </w:r>
    </w:p>
    <w:p>
      <w:r>
        <w:t>FR: TF 8C_791/2012 du 6 mars 2013</w:t>
      </w:r>
    </w:p>
    <w:p>
      <w:r>
        <w:t>IT: TF 8C_791/2012 del 6 marzo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 Urteil8C_886/2011 vom 4. April 2012 E. 1).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8C_148/2011 vom 5. Juli 2011 E. 1).</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bloss allgemein gehaltene appellatorische Kritik am angefochtenen Entscheid tritt das Bundesgericht nicht ein ( BGE 134 II 244 E. 2.2 S. 246 mit Hinweis).</w:t>
      </w:r>
    </w:p>
    <w:p>
      <w:r>
        <w:rPr>
          <w:b/>
        </w:rPr>
        <w:t>E. 2</w:t>
      </w:r>
    </w:p>
    <w:p>
      <w:r>
        <w:t>Im angefochtenen Entscheid werden die für die Beurteilung wesentlichen Rechtsgrundlagen zutreffend dargelegt. Es betrifft dies insbesondere die gesetzlichen Bestimmungen und von der Rechtsprechung entwickelten Grundsätze zu den Begriffen der Erwerbsunfähigkeit ( Art. 7 ATSG ) und der Invalidität ( Art. 4 Abs. 1 IVG in Verbindung mit Art. 8 ATSG ), namentlich bei psychischen Gesundheitsschäden ( BGE 132 V 65 E. 3.4 S. 69; 131 V 49 E. 1.2 S. 50; 130 V 396 , je mit Hinweisen), zu den Voraussetzungen und zum Umfang des Rentenanspruchs ( Art. 28 IVG ), zu den bei einer Neuanmeldung der versicherten Person nach vorausgegangener rechtskräftiger Rentenverweigerung analog zur Revision ( Art. 17 ATSG ) anwendbaren Regeln (Art. 87 Abs. 3 f. IVV; vgl. BGE 134 V 131 E. 3 S. 132; 133 V 108 ; 130 V 64 und 71), zur Aufgabe der Ärzte (und gegebenenfalls auch anderer Fachleute) im Rahmen der Invaliditätsbemessung ( BGE 132 V 93 E. 4 S. 99) sowie zum Beweiswert und zur Würdigung ärztlicher Berichte und Gutachten ( BGE 134 V 231 E. 5.1 S. 232; 125 V 351 E. 3a S. 352). Darauf wird verwiesen.</w:t>
      </w:r>
    </w:p>
    <w:p>
      <w:r>
        <w:rPr>
          <w:b/>
        </w:rPr>
        <w:t>E. 3.1</w:t>
      </w:r>
    </w:p>
    <w:p>
      <w:r>
        <w:t>Das kantonale Gericht hat eine einlässliche Würdigung der fachärztlichen Unterlagen, insbesondere auch des polydisziplinären Gutachtens des Begutachtungsinstituts X.________ vom 21. November 2011 vorgenommen. Dabei gelangte es zum Schluss, diesem sei voller Beweiswert zuzumessen. Die weiteren medizinischen Unterlagen, im Speziellen die verschiedenen Berichte des behandelnden Psychiaters Dr. med. K.________, Chefarzt der Klinik Y.________, vermögen nach den Feststellungen der Vorinstanz zu keinem anderen Ergebnis zu führen. Aufgrund eines Vergleichs der Verhältnisse bei Erlass der ursprünglichen ablehnenden Rentenverfügung vom 12. März 2009 mit dem Sachverhalt, wie er sich bis zur neuen Verfügung vom 24. April 2012 entwickelt hatte, gelangte die Vorinstanz zum Schluss, weder aus somatischer, noch aus psychiatrischer Sicht sei eine rentenerhebliche Veränderung des Gesundheitszustandes eingetreten. Der Versicherte sei für körperlich leichte bis mittelschwere Tätigkeiten in somatischer Hinsicht in seiner Leistungsfähigkeit nicht eingeschränkt, in psychischer Hinsicht betrage seine Arbeitsunfähigkeit seit März 2003 30 %. Damit sei die Voraussetzung einer durchschnittlichen Arbeitsunfähigkeit von mindestens 40 % während eines Jahres nicht gegeben und es bestehe kein Anspruch auf eine Invalidenrente.</w:t>
      </w:r>
    </w:p>
    <w:p>
      <w:r>
        <w:rPr>
          <w:b/>
        </w:rPr>
        <w:t>E. 3.2</w:t>
      </w:r>
    </w:p>
    <w:p>
      <w:r>
        <w:t>Die Tatsachenfeststellungen des kantonalen Gerichts, namentlich die aus den medizinischen Akten gewonnene Erkenntnis, wonach eine Arbeits- und Leistungsfähigkeit in einer körperlich angepassten Tätigkeit - wozu auch die früher ausgeübte gehört - von 70 %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3.3</w:t>
      </w:r>
    </w:p>
    <w:p>
      <w:r>
        <w:t>Daran ändern auch die Einwände des Versicherten nichts: Soweit er die "Unzumutbarkeit" einer zweiten Begutachtung am selben Institut geltend macht, welches schon vor der ersten ablehnenden Rentenverfügung den medizinischen Sachverhalt untersuchte, wird nicht nachvollziehbar ausgeführt und begründet, weshalb er durch die erste Begutachtung objektiv eine "ausgesprochen schlechte" Behandlung erfahren haben sollte. Eine "Unzumutbarkeit" ist nirgends ersichtlich. Wäre die angeordnete Abklärungsmassnahme tatsächlich unzumutbar gewesen, hätte er diese verweigern können. Dieses Verhalten hätte die IV-Stelle als Verletzung der Mitwirkungspflicht qualifizieren können ( Art. 43 Abs. 3 ATSG ). Gegen eine entsprechende Verfügung hätte die versicherte Person Rechtsmittel ergreifen und darin geltend machen können, die Rechtsfolgen von Art. 43 Abs. 3 ATSG dürften nicht eintreten, weil die angeordnete Beweismassnahme ungerechtfertigt gewesen sei (vgl. Urteil 9C_548/2010 vom 10. August 2010 E. 3.3).</w:t>
      </w:r>
    </w:p>
    <w:p>
      <w:r>
        <w:t>Was die inhaltlichen Einwände gegen das Gutachten des Begutachtungsinstituts X.________ betrifft, vermögen diese ebenfalls nicht durchzudringen. Die umfangreichen Vorbringen des Beschwerdeführers, die sich mit dem erwähnten Gutachten und damit mit der vorinstanzlichen Beweiswürdigung befassen, sind daher als unzulässige appellatorische Kritik am angefochtenen Entscheid nicht weiter zu beachten. Sie sind jedenfalls nicht geeignet, eine Rechtsverletzung gemäss Art. 95 f. BGG als erstellt oder die vorinstanzliche Feststellung des Sachverhalts als mangelhaft im Sinne von Art. 97 Abs. 1 und Art. 105 Abs. 2 BGG erscheinen zu lassen. Die Vorinstanz hat konkret und detailliert begründet, weshalb sie auf die Angaben der Gutachter des Begutachtungsinstituts X.________ und nicht auf diejenigen des behandelnden Arztes Dr. med. K.________ abgestellt hat und sich damit bereits mit den auch letztinstanzlich vorgebrachten Einwänden auseinandergesetzt. Ebenso hat sie begründet festgestellt, dass von weiteren Abklärungen in Form eines Obergutachtens keine entscheidrelevanten neuen Erkenntnisse zu erwarten seien weshalb darauf zu verzichten ist.</w:t>
      </w:r>
    </w:p>
    <w:p>
      <w:r>
        <w:rPr>
          <w:b/>
        </w:rPr>
        <w:t>E. 4</w:t>
      </w:r>
    </w:p>
    <w:p>
      <w:r>
        <w:t>Die Beschwerde erweist sich als offensichtlich unbegründet, weshalb sie im vereinfachten Verfahren nach Art. 109 BGG - ohne Durchführung des Schriftenwechsels und mit summarischer Begründung - erledigt wird.</w:t>
      </w:r>
    </w:p>
    <w:p>
      <w:r>
        <w:rPr>
          <w:b/>
        </w:rPr>
        <w:t>E. 5</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