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8C_78/2017 vom 16. Mai 2017</w:t>
      </w:r>
    </w:p>
    <w:p>
      <w:r>
        <w:t>Bundesgericht, 2017-05-16, DE</w:t>
      </w:r>
    </w:p>
    <w:p>
      <w:r>
        <w:rPr>
          <w:b/>
        </w:rPr>
        <w:t xml:space="preserve">Quelle: </w:t>
      </w:r>
      <w:r>
        <w:t>https://mcp.opencaselaw.ch/entscheid/bger_8C_78_2017</w:t>
      </w:r>
    </w:p>
    <w:p>
      <w:r>
        <w:t>FR: TF 8C_78/2017 du 16 mai 2017</w:t>
      </w:r>
    </w:p>
    <w:p>
      <w:r>
        <w:t>IT: TF 8C_78/2017 del 16 maggio 2017</w:t>
      </w:r>
    </w:p>
    <w:p>
      <w:pPr>
        <w:pStyle w:val="Heading2"/>
      </w:pPr>
      <w:r>
        <w:t>Erwägungen</w:t>
      </w:r>
    </w:p>
    <w:p>
      <w:r>
        <w:rPr>
          <w:b/>
        </w:rPr>
        <w:t>E. 1</w:t>
      </w:r>
    </w:p>
    <w:p>
      <w:r>
        <w:t>Von der beantragten Vereinigung des vorliegenden Verfahrens (8C_78/2017) mit demjenigen betreffend Höhe des Taggeldanspruchs (8C_74/2017) ist abzusehen, da diese beiden Verfahren nicht den gleichen vorinstanzlichen Entscheid betreffen und sich auch nicht dieselben Rechtsfragen stellen. Geht es im aktuellen Verfahren um die formelle Frage der Zulässigkeit der Beschwerde, stellt sich im parallel laufenden Verfahren 8C_74/2017 hauptsächlich die materiell-rechtliche Frage nach der Korrektheit der Taggeldabrechnungen. Eine Verfahrensvereinigung ist nicht angezeigt.</w:t>
      </w:r>
    </w:p>
    <w:p>
      <w:r>
        <w:rPr>
          <w:b/>
        </w:rPr>
        <w:t>E. 2</w:t>
      </w:r>
    </w:p>
    <w:p>
      <w:r>
        <w:t>Das Bundesgericht prüft von Amtes wegen und mit freier Kognition, ob ein Rechtsmittel zulässig ist ( BGE 139 III 133 E. 1 S. 133 mit Hinweisen; 138 V 318 E. 6 S. 320); immerhin muss die Eingabe auch bezüglich der Eintretensvoraussetzungen hinreichend begründet sein ( Art. 42 Abs. 1 und 2 BGG ; BGE 134 II 120 E. 1 S. 121; Urteil 8C_1025/2009 vom 19. August 2010 E. 1).</w:t>
      </w:r>
    </w:p>
    <w:p>
      <w:r>
        <w:rPr>
          <w:b/>
        </w:rPr>
        <w:t>E. 3</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Anders verhält es sich nur dann, wenn der unteren Instanz, an welche zurückgewiesen wird, kein Entscheidungsspielraum mehr verbleibt und die Rückweisung nur noch der Umsetzung des oberinstanzlich Angeordneten dient ( BGE 135 V 141 E. 1.1 S. 143; 134 II 124 E. 1.3 S. 127).</w:t>
      </w:r>
    </w:p>
    <w:p>
      <w:r>
        <w:rPr>
          <w:b/>
        </w:rPr>
        <w:t>E. 4.1</w:t>
      </w:r>
    </w:p>
    <w:p>
      <w:r>
        <w:t>Der angefochtene Entscheid stellt - da er die Sache zur weiteren Sachverhaltsabklärung im Sinne der Erwägungen an die Beschwerdeführerin zurückweist - einen Zwischenentscheid dar.</w:t>
      </w:r>
    </w:p>
    <w:p>
      <w:r>
        <w:rPr>
          <w:b/>
        </w:rPr>
        <w:t>E. 4.2</w:t>
      </w:r>
    </w:p>
    <w:p>
      <w:r>
        <w:t>Die Beschwerdeführerin macht zu Recht nicht geltend, dass der Rückweisungsentscheid für sie einen nicht wieder gutzumachenden Nachteil im Sinne von Art. 93 Abs. 1 lit. a BGG bewirkt. Behauptet wird die Eintretensvoraussetzung nach lit. b der eingangs erwähnten Bestimmung. Die Aufhebung von Rückweisungsentscheiden, mit denen einzig eine ergänzende Sachverhaltsabklärung angeordnet wird, bringt aber praxisgemäss keine erhebliche Ersparnis an Zeit- bzw. Kostenaufwand im Sinne von Art. 93 Abs. 1 lit. b BGG mit sich. Die Beschwerde ist offensichtlich unzulässig ( Art. 108 Abs. 1 lit. a BGG ), weshalb auf diese im vereinfachten Verfahren nach Art. 108 Abs. 1 lit. b und Abs. 2 BGG nicht einzutreten ist.</w:t>
      </w:r>
    </w:p>
    <w:p>
      <w:r>
        <w:rPr>
          <w:b/>
        </w:rPr>
        <w:t>E. 5</w:t>
      </w:r>
    </w:p>
    <w:p>
      <w:r>
        <w:t>Dem Verfahrensausgang entsprechend hat die unterliegende Beschwerdeführerin die Gerichtskosten zu tragen ( Art. 66 Abs. 1 Satz 1 BGG ). Dem nicht anwaltlich vertretenen Beschwerdegegner steht trotz Obsiegens keine Parteientschädigung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