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789/2021 vom 1. Februar 2022</w:t>
      </w:r>
    </w:p>
    <w:p>
      <w:r>
        <w:t>Bundesgericht, 2022-02-01, FR</w:t>
      </w:r>
    </w:p>
    <w:p>
      <w:r>
        <w:rPr>
          <w:b/>
        </w:rPr>
        <w:t xml:space="preserve">Quelle: </w:t>
      </w:r>
      <w:r>
        <w:t>https://mcp.opencaselaw.ch/entscheid/bger_8C_789_2021</w:t>
      </w:r>
    </w:p>
    <w:p>
      <w:r>
        <w:t>FR: TF 8C 789/2021 du 1 février 2022</w:t>
      </w:r>
    </w:p>
    <w:p>
      <w:r>
        <w:t>IT: TF 8C 789/2021 del 1 febbraio 2022</w:t>
      </w:r>
    </w:p>
    <w:p>
      <w:pPr>
        <w:pStyle w:val="Heading2"/>
      </w:pPr>
      <w:r>
        <w:t>Regeste</w:t>
      </w:r>
    </w:p>
    <w:p>
      <w:r>
        <w:t>Assurance-chômage (condition de recevabilité) | Assurance-chômage</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w:t>
      </w:r>
    </w:p>
    <w:p>
      <w:r>
        <w:t>Aux termes de l' art. 42 al. 1 et 2 LTF , le recours doit indiquer, entre autres exigences, les conclusions, les motifs et les moyens de preuve, en exposant en quoi l'acte attaqué est contraire au droit.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et les références). En outre, la partie recourante ne peut critiquer les constatations de fait que si elles ont été établies en violation du droit au sens de l' art. 95 LTF ou de manière manifestement inexacte, c'est-à-dire arbitraire au sens de l' art. 9 Cst. , et si la correction du vice est susceptible d'influer sur le sort de la cause ( art. 97 al. 1 LTF ).</w:t>
      </w:r>
    </w:p>
    <w:p>
      <w:r>
        <w:rPr>
          <w:b/>
        </w:rPr>
        <w:t>E. 3.1</w:t>
      </w:r>
    </w:p>
    <w:p>
      <w:r>
        <w:t>En l'espèce, les juges cantonaux ont considéré que le recours pour déni de justice était devenu sans objet vu la décision sur opposition du 8 septembre 2021 de l'intimée, rendue postérieurement audit recours et fondée notamment sur les diverses écritures et pièces produites par le recourant en cours d'instance.</w:t>
      </w:r>
    </w:p>
    <w:p>
      <w:r>
        <w:rPr>
          <w:b/>
        </w:rPr>
        <w:t>E. 3.2</w:t>
      </w:r>
    </w:p>
    <w:p>
      <w:r>
        <w:t>Dans son écriture, le recourant se contente de relater par le détail toutes les étapes de la procédure. Il se plaint de la mauvaise foi de la caisse et critique la décision sur opposition du 8 septembre 2021. Il reproche également à la cour cantonale d'avoir fait preuve de partialité à son endroit en ne tenant pas compte des problèmes qu'il avait soulevés et en retenant une version des faits incomplète dans son arrêt.</w:t>
      </w:r>
    </w:p>
    <w:p>
      <w:r>
        <w:rPr>
          <w:b/>
        </w:rPr>
        <w:t>E. 3.3</w:t>
      </w:r>
    </w:p>
    <w:p>
      <w:r>
        <w:t>Ce faisant, il ne prend toutefois pas position sur les motifs qui ont conduit la cour cantonale à considérer que son recours était devenu sans objet, étant précisé que le litige était circonscrit à la question du déni de justice et non pas aux motifs retenus par la caisse pour nier son droit au chômage. Le recourant n'expose pas non plus en quoi les faits qu'il invoque auraient une influence sur l'issue de la procédure, c'est-à-dire sur le dispositif de l'arrêt entrepris. Enfin, il ne fait mention d'aucune disposition légale qui aurait été violée par les juges cantonaux.</w:t>
      </w:r>
    </w:p>
    <w:p>
      <w:r>
        <w:rPr>
          <w:b/>
        </w:rPr>
        <w:t>E. 3.4</w:t>
      </w:r>
    </w:p>
    <w:p>
      <w:r>
        <w:t>Partant, le recours ne répond manifestement pas aux exigences de l' art. 42 al. 1 et 2 LTF et doit être déclaré irrecevable selon la procédure simplifiée de l' art. 108 al. 1 LTF .</w:t>
      </w:r>
    </w:p>
    <w:p>
      <w:r>
        <w:rPr>
          <w:b/>
        </w:rPr>
        <w:t>E. 4</w:t>
      </w:r>
    </w:p>
    <w:p>
      <w:r>
        <w:t>Au vu des circonstances, il sera exceptionnellement renoncé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