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8C_789/2017 vom 30. Mai 2018</w:t>
      </w:r>
    </w:p>
    <w:p>
      <w:r>
        <w:t>Bundesgericht, 2018-05-30, DE</w:t>
      </w:r>
    </w:p>
    <w:p>
      <w:r>
        <w:rPr>
          <w:b/>
        </w:rPr>
        <w:t xml:space="preserve">Quelle: </w:t>
      </w:r>
      <w:r>
        <w:t>https://mcp.opencaselaw.ch/entscheid/bger_8C_789_2017</w:t>
      </w:r>
    </w:p>
    <w:p>
      <w:r>
        <w:t>FR: TF 8C_789/2017 du 30 mai 2018</w:t>
      </w:r>
    </w:p>
    <w:p>
      <w:r>
        <w:t>IT: TF 8C_789/2017 del 30 maggio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die Verfügung der IV-Stelle vom 9. Mai 2016 bestätigt hat, wonach die Wiedererwägungsvoraussetzungen gemäss Art. 53 Abs. 2 ATSG hinsichtlich der Revisionsmitteilung vom 25. Februar 2011 gegeben seien und die Invalidenrente daher ex nunc et pro futuro voraussetzungslos neu habe geprüft werden können. Prozessthema bildet dabei in erster Linie die Frage, ob die Vorinstanz von einem bundesrechtskonformen Verständnis der zweifellosen Unrichtigkeit ausgegangen ist. Die Feststellungen, die der Beurteilung dieses unbestimmten Rechtsbegriffs zugrunde liegen, sind tatsächlicher Natur und folglich nur auf offensichtliche Unrichtigkeit oder Unvollständigkeit (vgl. E. 1.2 hievor) hin überprüfbar (vgl. SVR 2008 IV Nr. 53 S. 177 f., I 803/06 E. 4.2). Dagegen ist die Auslegung (Konkretisierung) des Begriffs der zweifellosen Unrichtigkeit nach Art. 53 Abs. 2 ATSG eine Rechtsfrage, die das Bundesgericht frei beurteilt (Urteil 9C_994/2010 vom 12. April 2011 E. 2).</w:t>
      </w:r>
    </w:p>
    <w:p>
      <w:r>
        <w:rPr>
          <w:b/>
        </w:rPr>
        <w:t>E. 2.2</w:t>
      </w:r>
    </w:p>
    <w:p>
      <w:r>
        <w:t>Die Vorinstanz hat die bei der Beurteilung des Streitgegenstands zu beachtenden Rechtsgrundlagen zutreffend dargestellt. Darauf wird verwiesen. Zu wiederholen ist, dass nach der Regeste von BGE 140 V 514 (Wiedererwägung einer Revisionsverfügung) in Verbindung mit E. 5.2 S. 520 der Rentenanspruch einer versicherten Person, der eine halbe Rente der Invalidenversicherung zugesprochen wurde und der die Rente in der Folge zweifellos zu Unrecht auf eine ganze Rente erhöht wurde, für die Zukunft auch dann frei zu prüfen ist, wenn bezüglich der ursprünglichen Verfügung kein Rückkommenstitel vorliegen würde.</w:t>
      </w:r>
    </w:p>
    <w:p>
      <w:r>
        <w:rPr>
          <w:b/>
        </w:rPr>
        <w:t>E. 3.1.1</w:t>
      </w:r>
    </w:p>
    <w:p>
      <w:r>
        <w:t>Die Vorinstanz hat erwogen, die IV-Stelle habe im Rahmen des im Juli 2010 eingeleiteten, mit Mitteilung vom 25. Februar 2011 abgeschlossenen Revisionsverfahrens einen Auszug aus dem Individuellen Konto (IK), zwei Fragebögen für Arbeitgebende der B.________ AG, vom 20. Dezember 2010 sowie zwei Arztberichte eingeholt. Gemäss IK-Auszug habe der Versicherte bei der B.________ AG von Januar bis Juni 2008 ein Einkommen von Fr. 39'000.- erzielt. Laut Fragebögen der Arbeitgeberin habe der monatliche Lohn ab Januar 2009 Fr. 1'000.- betragen, was mit dem IK-Auszug für dieses Jahr übereinstimme. Die Entlöhnung für das Jahr 2008 habe die Arbeitgeberin nicht angegeben. Werde vom IK-Auszug ausgegangen, hätte der Versicherte hochgerechnet im Jahr 2008 ein Jahreseinkommen von Fr. 72'000.- erzielt, das deutlich über dem bei der Rentenzusprache ermittelten Invalideneinkommen von Fr. 26'247.- bei einer Arbeitsunfähigkeit von 50 % liege. Somit hätten in dem ab dem im Juli 2010 durchgeführten Revisionsverfahren klare Hinweise für einen Revisionsgrund bestanden, welchem die IV-Stelle mittels zusätzlicher Abklärungen hätte nachgehen müssen. Indem sie davon abgesehen habe, habe sie den Untersuchungsgrundsatz verletzt. Daher sei die Revisionsmitteilung vom 25. Februar 2011, mit welcher der Anspruch auf eine Dreiviertelsrente bestätigt worden sei, als zweifellos unrichtig einzustufen.</w:t>
      </w:r>
    </w:p>
    <w:p>
      <w:r>
        <w:rPr>
          <w:b/>
        </w:rPr>
        <w:t>E. 3.1.2</w:t>
      </w:r>
    </w:p>
    <w:p>
      <w:r>
        <w:t>Der Beschwerdeführer macht geltend, die Vorinstanz verkenne in Verletzung von Art. 53 Abs. 2 ATSG , weitere Abklärungen hätten kein anderes Resultat ergeben, weil damit bereits damals nachgewiesen worden wäre, dass der IK-Auszug bezogen auf das Jahr 2008 fehlerhaft gewesen sei. Damals - wie heute - hätten die nachträglich beigebrachten Unterlagen, insbesondere die Lohnabrechnungen der B.________ AG für das Jahr 2008, die Einstellung der Rente verunmöglicht.</w:t>
      </w:r>
    </w:p>
    <w:p>
      <w:r>
        <w:rPr>
          <w:b/>
        </w:rPr>
        <w:t>E. 3.1.3</w:t>
      </w:r>
    </w:p>
    <w:p>
      <w:r>
        <w:t>Die IV-Stelle bringt vor, der Beschwerdeführer übersehe, dass bei einer nachträglich festgestellten, klaren Verletzung des Untersuchungsgrundsatzes lediglich zu prüfen sei, ob im Zeitpunkt der fraglichen Verfügung weitere Abklärungen erforderlich gewesen seien, was in Bezug auf die damalige Sachlage zu beurteilen sei. Daher sei es entgegen der Auffassung des Beschwerdeführers nicht zulässig, aufgrund aktueller Erkenntnisse dazu rückwirkend Schlüsse zu ziehen.</w:t>
      </w:r>
    </w:p>
    <w:p>
      <w:r>
        <w:rPr>
          <w:b/>
        </w:rPr>
        <w:t>E. 3.2.1</w:t>
      </w:r>
    </w:p>
    <w:p>
      <w:r>
        <w:t>Den Vorbringen der IV-Stelle ist beizupflichten. Gemäss Urteil 9C_19/2008 vom 29. April 2008 E. 2.1 mit Hinweis kann eine zweifellose Unrichtigkeit der ursprünglichen Rentenverfügung auch bei unrichtiger Feststellung im Sinne der Würdigung des Sachverhalts gegeben sein. Darunter fällt insbesondere eine unvollständige Sachverhaltsabklärung aufgrund einer klaren Verletzung des Untersuchungsgrundsatzes (vgl. Art. 43 Abs. 1 ATSG und Art. 61 lit. c ATSG ). Trifft dies zu, erübrigt es sich, den damals rechtserheblichen Sachverhalt weiter abzuklären und auf dieser nunmehr hinreichenden tatsächlichen Grundlage den Invaliditätsgrad zu ermitteln. Abgesehen davon, dass einen weiter zurückliegenden Zeitraum betreffende Abklärungen häufig keine verwertbaren Ergebnisse zu liefern vermögen, geht es im Kontext darum, mit Wirkung ex nunc et pro futuro einen rechtskonformen Zustand herzustellen.</w:t>
      </w:r>
    </w:p>
    <w:p>
      <w:r>
        <w:rPr>
          <w:b/>
        </w:rPr>
        <w:t>E. 3.2.2</w:t>
      </w:r>
    </w:p>
    <w:p>
      <w:r>
        <w:t>Nach dem Gesagten ist der vorinstanzliche Entscheid zu bestätigen, wonach die IV-Stelle mit Verfügung vom 9. Mai 2016 bezogen auf die Revisionsmitteilung vom 25. Februar 2011 zu Recht einen Wiedererwägungsgrund angenommen und den Invaliditätsgrad und damit den Anspruch auf Invalidenrente voraussetzungslos ex nunc et pro futuro neu geprüft hat.</w:t>
      </w:r>
    </w:p>
    <w:p>
      <w:r>
        <w:rPr>
          <w:b/>
        </w:rPr>
        <w:t>E. 4.1</w:t>
      </w:r>
    </w:p>
    <w:p>
      <w:r>
        <w:t>Streitig ist weiter, ob das kantonale Gericht das bei der Bestimmung des Invaliditätsgrades gemäss Art. 16 ATSG festzustellende hypothetische Invalideneinkommen bundesrechtskonform ermittelt hat. Dabei ist unbestritten, dass zur Beurteilung des Gesundheitszustands und der Arbeitsfähigkeit vom polydisziplinären Gutachten der MEDAS vom 19. August 2014 auszugehen ist. Danach war der Explorand für körperlich leichte, rückenadaptierte Tätigkeiten, die kein regelmässiges Bücken oder Heben von Lasten über zirka 8 bis 10 Kilogramm und auch keine vorgeneigten Zwangshaltungen erforderten, zu 80 % arbeitsfähig.</w:t>
      </w:r>
    </w:p>
    <w:p>
      <w:r>
        <w:rPr>
          <w:b/>
        </w:rPr>
        <w:t>E. 4.2</w:t>
      </w:r>
    </w:p>
    <w:p>
      <w:r>
        <w:t>Die Vorinstanz hat anhand der standardisierten Bruttolöhne der Schweizerischen Lohnstrukturerhebung (LSE) 2012 des Bundesamtes für Statistik, Tabelle TA1, Total, Kompetenzniveau 1, Männer, bezogen auf das Jahr 2013 ein hypothetisches Invalideneinkommen von Fr. 52'927.- ermittelt (Fr. 66'158.- herabgesetzt um die Arbeitsunfähigkeit von 20 % gemäss Gutachten der MEDAS vom 19. August 2014). Der Beschwerdeführer bringt einzig vor, das kantonale Gericht habe in Verletzung von Bundesrecht davon keinen Abzug gemäss BGE 126 V 76 gewährt. Wohl trifft zu, dass das Bundesgericht nach ständiger Rechtsprechung diese Frage frei prüft (vgl. BGE 137 V 71 E. 5.1 S. 72; 132 V 393 E. 3.3 S. 399), indessen hat die Vorinstanz zu sämtlichen im bundesgerichtlichen Verfahren vorgebrachten Einwänden in nicht zu beanstandender Weise Stellung genommen, weshalb auf die Vorbringen des Beschwerdeführers in diesem Punkt nicht näher einzugehen ist.</w:t>
      </w:r>
    </w:p>
    <w:p>
      <w:r>
        <w:rPr>
          <w:b/>
        </w:rPr>
        <w:t>E. 4.3</w:t>
      </w:r>
    </w:p>
    <w:p>
      <w:r>
        <w:t>Insgesamt ergibt sich aufgrund der vorinstanzlich festgestellten Vergleichseinkommen kein den Schwellenwert erreichender Invaliditätsgrad von 40 %, der ex nunc et pro futuro einen Anspruch auf eine Invalidenrente begründen würde, weshalb die Beschwerde abzuweisen ist.</w:t>
      </w:r>
    </w:p>
    <w:p>
      <w:r>
        <w:rPr>
          <w:b/>
        </w:rPr>
        <w:t>E. 5</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einen Rechtsanwalt geboten ist ( Art. 64 Abs. 1 - 3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