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8C_789/2016 vom 30. November 2016</w:t>
      </w:r>
    </w:p>
    <w:p>
      <w:r>
        <w:t>Bundesgericht, 2016-11-30, DE</w:t>
      </w:r>
    </w:p>
    <w:p>
      <w:r>
        <w:rPr>
          <w:b/>
        </w:rPr>
        <w:t xml:space="preserve">Quelle: </w:t>
      </w:r>
      <w:r>
        <w:t>https://mcp.opencaselaw.ch/entscheid/bger_8C_789_2016</w:t>
      </w:r>
    </w:p>
    <w:p>
      <w:r>
        <w:t>FR: TF 8C_789/2016 du 30 novembre 2016</w:t>
      </w:r>
    </w:p>
    <w:p>
      <w:r>
        <w:t>IT: TF 8C_789/2016 del 30 novembre 2016</w:t>
      </w:r>
    </w:p>
    <w:p>
      <w:pPr>
        <w:pStyle w:val="Heading2"/>
      </w:pPr>
      <w:r>
        <w:t>Volltext</w:t>
      </w:r>
    </w:p>
    <w:p>
      <w:r>
        <w:t>Bundesgericht</w:t>
      </w:r>
    </w:p>
    <w:p>
      <w:r>
        <w:t>Tribunal fédéral</w:t>
      </w:r>
    </w:p>
    <w:p>
      <w:r>
        <w:t>Tribunale federale</w:t>
      </w:r>
    </w:p>
    <w:p>
      <w:r>
        <w:t>Tribunal federal</w:t>
      </w:r>
    </w:p>
    <w:p>
      <w:r>
        <w:t>{T 0/2}</w:t>
      </w:r>
    </w:p>
    <w:p>
      <w:r>
        <w:t>8C_789/2016</w:t>
      </w:r>
    </w:p>
    <w:p>
      <w:r>
        <w:t>Urteil vom 30. November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 Birmensdorf,</w:t>
      </w:r>
    </w:p>
    <w:p>
      <w:r>
        <w:t>vertreten durch die Abteilung</w:t>
      </w:r>
    </w:p>
    <w:p>
      <w:r>
        <w:t>Soziales und Gesellschaft,</w:t>
      </w:r>
    </w:p>
    <w:p>
      <w:r>
        <w:t>Stallikonerstrasse 9, 8903 Birmensdorf ZH,</w:t>
      </w:r>
    </w:p>
    <w:p>
      <w:r>
        <w:t>Beschwerdegegnerin.</w:t>
      </w:r>
    </w:p>
    <w:p>
      <w:r>
        <w:t>Gegenstand</w:t>
      </w:r>
    </w:p>
    <w:p>
      <w:r>
        <w:t>Sozialhilfe (Prozessvoraussetzung),</w:t>
      </w:r>
    </w:p>
    <w:p>
      <w:r>
        <w:t>Beschwerde gegen die Verfügung des Verwaltungsgerichts des Kantons Zürich</w:t>
      </w:r>
    </w:p>
    <w:p>
      <w:r>
        <w:t>vom 21. Oktober 2016.</w:t>
      </w:r>
    </w:p>
    <w:p>
      <w:r>
        <w:t>Nach Einsicht</w:t>
      </w:r>
    </w:p>
    <w:p>
      <w:r>
        <w:t>in die Beschwerde vom 27. November 2016 (Poststempel) gegen den Nichteintretensentscheid des Verwaltungsgerichts des Kantons Zürich vom 21. Oktober 2016,</w:t>
      </w:r>
    </w:p>
    <w:p>
      <w:r>
        <w:t>in Erwägung,</w:t>
      </w:r>
    </w:p>
    <w:p>
      <w:r>
        <w:t>dass ein Rechtsmittel gemäss Art. 42 Abs. 1 und 2 BGG unter anderem die Begehren und deren Begründung zu enthalten hat, wobei in der Begründung in gedrängter Form darzulegen ist, inwiefern der angefochtene Akt Recht verletzt; Art. 95 f. BGG nennt die zulässigen Rügegründe,</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die Vorinstanz im angefochtenen Entscheid unter Hinweis und gestützt auf kantonale Rechtsbestimmungen auf die bei ihr erhobene Beschwerde gegen einen Beschluss des Bezirksrats Dietikon vom 7. September 2016 wegen verspäteter Beschwerdeerhebung nicht eintrat,</w:t>
      </w:r>
    </w:p>
    <w:p>
      <w:r>
        <w:t>dass der Beschwerdeführer die Komplexität der Angelegenheit als Grund für seine verspätete Beschwerdeerhebung anführt,</w:t>
      </w:r>
    </w:p>
    <w:p>
      <w:r>
        <w:t>dass er damit zwar eine mögliche Erklärung für sein verspätetes Handeln liefert, ohne indessen auch nur ansatzweise aufzuzeigen, weshalb das kantonale Gericht deswegen durch seinen Nichteintretensentscheid gegen verfassungsmässige Rechte oder andere gemäss Art. 95 f. BGG vor Bundesgericht rügbare Rechte verstossen haben könnte,</w:t>
      </w:r>
    </w:p>
    <w:p>
      <w:r>
        <w:t>dass dieser Begründungsmangel offensichtlich ist,</w:t>
      </w:r>
    </w:p>
    <w:p>
      <w:r>
        <w:t>dass deshalb im vereinfachten Verfahren nach Art. 108 Abs. 1 lit. b BGG auf die Beschwerde nicht einzutreten ist,</w:t>
      </w:r>
    </w:p>
    <w:p>
      <w:r>
        <w:t>dass indessen in Anwendung von Art. 66 Abs. 1 Satz 2 BGG umständehalber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30. November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