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789/2013 vom 10. März 2014</w:t>
      </w:r>
    </w:p>
    <w:p>
      <w:r>
        <w:t>Bundesgericht, 2014-03-10, DE</w:t>
      </w:r>
    </w:p>
    <w:p>
      <w:r>
        <w:rPr>
          <w:b/>
        </w:rPr>
        <w:t xml:space="preserve">Quelle: </w:t>
      </w:r>
      <w:r>
        <w:t>https://mcp.opencaselaw.ch/entscheid/bger_8C_789_2013</w:t>
      </w:r>
    </w:p>
    <w:p>
      <w:r>
        <w:t>FR: TF 8C 789/2013 du 10 mars 2014</w:t>
      </w:r>
    </w:p>
    <w:p>
      <w:r>
        <w:t>IT: TF 8C 789/2013 del 10 marzo 2014</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das Bundesgericht ist nicht an die Sachverhaltsfeststellung der Vorinstanz gebunden ( Art. 105 Abs. 3 BGG ).</w:t>
      </w:r>
    </w:p>
    <w:p>
      <w:r>
        <w:rPr>
          <w:b/>
        </w:rPr>
        <w:t>E. 1.2.2</w:t>
      </w:r>
    </w:p>
    <w:p>
      <w:r>
        <w:t>Es fragt sich, ob die Regelung über die freie Kognition des Bundesgerichts gemäss Art. 105 Abs. 3 in Verbindung mit Art. 97 Abs. 2 BGG zur Anwendung gelangt. Das trifft nicht zu. Gegenstand des angefochtenen Entscheids bildet einzig die Frage der Auszahlungsmodalität der den Kindern unbestrittenermassen zustehenden Waisenrenten. Damit ist auch der letztinstanzliche Prüfungsgegenstand umschrieben. Angesichts des Ausnahmecharakters des Art. 105 Abs. 3 BGG und der damit zusammenhängenden restriktiven Interpretation ( BGE 135 V 412 E. 1.2.2 S. 414 mit Hinweisen auf die Literatur) ist nicht davon auszugehen, dass der Gesetzgeber die Geldleistungen der Militär- und Unfallversicherung kognitionsmässig auch bei dieser nicht den Anspruch als solchen, sondern einzig die Auszahlungsmodalität beschlagenden Streitigkeit anders als die übrigen vom Bundesgericht zu beurteilenden Versicherungsmaterien behandeln wollte. Daher gilt die eingeschränkte Kognition.</w:t>
      </w:r>
    </w:p>
    <w:p>
      <w:r>
        <w:rPr>
          <w:b/>
        </w:rPr>
        <w:t>E. 2</w:t>
      </w:r>
    </w:p>
    <w:p>
      <w:r>
        <w:t>Die Beschwerdeführerin verlangt die Auszahlung der Halbwaisenrenten ihrer beiden Enkel E.________ und F.________ an sich selber. Zur Begründung führte sie vor Vorinstanz aus, gemäss Verfügung der Sozialbehörde X.________ (Kosovo) vom 5. Februar 2002 sei sie Vormund und damit gesetzliche Vertreterin der Halbwaisen. Die Vorinstanz hat festgehalten, die entsprechende Verfügung beziehe sich einzig auf das Kind F.________, nicht aber auf E.________. Da die Beschwerdeführerin für E.________ somit auch nach eigener Darstellung nicht Vormund sei, komme eine Auszahlung der Halbwaisenrente für E.________ zum Vornherein nicht in Frage. Mit dieser Erwägung setzt sich die Beschwerdeführerin in ihrer Beschwerde ans Bundesgericht nicht auseinander, weshalb es an einer sachbezogenen Begründung im Sinne von Art. 42 Abs. 2 BGG fehlt und insoweit auf die Beschwerde nicht eingetreten werden kann.</w:t>
      </w:r>
    </w:p>
    <w:p>
      <w:r>
        <w:rPr>
          <w:b/>
        </w:rPr>
        <w:t>E. 3</w:t>
      </w:r>
    </w:p>
    <w:p>
      <w:r>
        <w:t>Streitig und zu prüfen bleibt, wer - als gesetzlicher Vertreter von F.________ - Anspruch auf Auszahlung der Hinterlassenenleistung hat.</w:t>
      </w:r>
    </w:p>
    <w:p>
      <w:r>
        <w:rPr>
          <w:b/>
        </w:rPr>
        <w:t>E. 4.1</w:t>
      </w:r>
    </w:p>
    <w:p>
      <w:r>
        <w:t>Die Vorinstanz hat die Bestimmungen und Grundsätze über den Anspruch auf Hinterlassenenrenten von (Halb-) Waisen ( Art. 30 UVG ), die elterliche Sorge (Art. 252 Abs. 1 und 2, Art. 296 Abs. 1 in Verbindung mit Art. 297 Abs. 3 ZGB ) sowie die damit verbundene Vermögensverwaltung ( Art. 318 Abs. 1 ZGB ), die gesetzliche Vertretung ( Art. 304 Abs. 1 ZGB ) und die Voraussetzungen des Entzugs der elterlichen Sorge (Art. 311 f. ZGB) zutreffend dargelegt. Darauf wird verwiesen.</w:t>
      </w:r>
    </w:p>
    <w:p>
      <w:r>
        <w:rPr>
          <w:b/>
        </w:rPr>
        <w:t>E. 4.2.1</w:t>
      </w:r>
    </w:p>
    <w:p>
      <w:r>
        <w:t>Bezüglich des anwendbaren internationalen Rechts ist hingegen zu differenzieren: Gemäss dem Grundsatz, wonach jenes Recht zur Anwendung gelangt, welches bei Verwirklichung des zu Rechtsfolgen führenden Sachverhaltes in Kraft stand ( BGE 139 V 335 E. 6.2 S. 338; 132 V 215 E. 3.1.1 S. 220), ist angesichts der auch rückwirkend geltend gemachten Auszahlung der Halbwaisenrenten das anwendbare Recht zu bestimmen. Das Europäische Übereinkommen vom 20. Mai 1980 über die Anerkennung und Vollstreckung von Entscheidungen über das Sorgerecht für Kinder und die Wiederherstellung des Sorgerechts (Europäisches Sorgerechtsübereinkommen, nachfolgend: ESÜ; SR 0.211.230.01) ist für die Schweiz am 1. Januar 1984 und für Serbien am 1. Mai 2002 in Kraft getreten. Da der Kosovo von der Schweiz am 27. Februar 2008 als selbstständiger Staat anerkannt wurde, ist vom 1. Mai 2002 bis zu dieser Sezession das ESÜ massgebend ( Art. 1 Abs. 2 IPRG ). Ob es auch für den Nachfolgestaat Kosovo anwendbar bleibt, ist fraglich (vgl. dazu BGE 139 V 263 ), so dass mangels anderer beidseitig unterzeichneter völkerrechtlicher Verträge im Übrigen die Bestimmungen des IPRG massgebend sind. Art. 85 Abs. 1 IPRG in der bis 30. Juni 2009 geltenden Fassung verweist auf das Haager Übereinkommen vom 5. Oktober 1961 über die Zuständigkeit der Behörden und das anzuwendende Recht auf dem Gebiet des Schutzes von Minderjährigen (nachfolgend: MSA; SR 0.211.231.01) und in der ab 1. Juli 2009 geltenden Fassung auf das Haager Übereinkommen vom 19. Oktober 1996 über die Zuständigkeit, das anzuwendende Recht, die Anerkennung, Vollstreckung und Zusammenarbeit auf dem Gebiet der elterlichen Verantwortung und der Massnahmen zum Schutz von Kindern (Haager Kindesschutzübereinkommen, nachfolgend: HKsÜ; SR 0.211.231.011).</w:t>
      </w:r>
    </w:p>
    <w:p>
      <w:r>
        <w:rPr>
          <w:b/>
        </w:rPr>
        <w:t>E. 4.2.2</w:t>
      </w:r>
    </w:p>
    <w:p>
      <w:r>
        <w:t>Nach Art. 27 Abs. 1 IPRG wird eine im Ausland ergangene Entscheidung von Amtes wegen (vgl. Däppen/Mabillard, in: Honsell et al. [Hrsg.], Basler Kommentar, Internationales Privatrecht, 3. Aufl. 2013, N. 1 zu Art. 27 IPRG ) nicht anerkannt, wenn die Anerkennung mit dem schweizerischen ordre public nicht vereinbar wäre; eine im Ausland ergangene Entscheidung wird auf entsprechenden Einwand hin (vgl. Däppen/Mabillard, a.a.O., N. 1 zu Art. 27 IPRG ) nach Art. 27 Abs. 2 lit. b IPRG ebenfalls nicht anerkannt, wenn sie unter Verletzung wesentlicher Grundsätze des schweizerischen Verfahrensrechts zustande gekommen ist, insbesondere bei Verletzung des rechtlichen Gehörs. Nach Art. 16 MSA darf von den Bestimmungen dieses Übereinkommens nur abgewichen werden, wenn ihre Anwendung mit der öffentlichen Ordnung offensichtlich unvereinbar ist. Art. 23 Abs. 2 HKsÜ sieht verschiedene Gründe vor, bei deren Vorliegen die Anerkennung eines behördlichen Entscheids versagt werden kann, etwa auf Antrag jeder Person, die geltend macht, dass die Massnahme ihre elterliche Sorge beeinträchtigt und sie ohne ihre Anhörung getroffen wurde (lit. c), oder wenn die Anerkennung der öffentlichen Ordnung (ordre public) des ersuchten Staates offensichtlich widerspricht (lit. d) oder wenn das Verfahren nach Art. 33 HKsÜ nicht eingehalten wurde (lit. f). Das MSA und das HKsÜ gelangen infolge Verweis in Art. 85 IPRG auch gegenüber Nichtvertragsstaaten zur Anwendung (vgl. Schnyder/Grolimund, in: Basler Kommentar, a.a.O., N. 17 zu Art. 1 IPRG ). Gemäss Art. 9 Abs. 1 lit. a ESÜ kann die Anerkennung und Vollstreckung versagt werden, wenn bei einer Entscheidung, die in Abwesenheit des Beklagten oder seines gesetzlichen Vertreters ergangen ist, dem Beklagten das das Verfahren einleitende oder gleichwertige Schriftstück weder ordnungsgemäss noch rechtzeitig zugestellt worden ist, so dass er sich verteidigen konnte; nach Art. 10 Abs. 1 lit. a ESÜ kann die Anerkennung und Vollstreckung auch verweigert werden, wenn die Wirkungen der Entscheidungen mit den Grundwerten des Familien- und Kindschaftsrechts im ersuchten Staat offensichtlich unvereinbar sind.</w:t>
      </w:r>
    </w:p>
    <w:p>
      <w:r>
        <w:rPr>
          <w:b/>
        </w:rPr>
        <w:t>E. 5.1</w:t>
      </w:r>
    </w:p>
    <w:p>
      <w:r>
        <w:t>Es ist unbestritten, dass die Halbwaisenrente grundsätzlich an den Inhaber der elterlichen Sorge auszuzahlen ist. Nach dem hier massgebenden schweizerischen Recht geht die elterliche Sorge beim Tod des einen Ehegatten auf den überlebenden über ( Art. 297 Abs. 3 ZGB ). Demnach stand B.________ nach dem Tod von J.________ die alleinige elterliche Sorge für ihre Söhne zu. Die Beschwerdeführerin macht vor Bundesgericht geltend, durch die Verfügung der Sozialbehörde X.________ (Kosovo) vom 5. Februar 2002 sei der Mutter die elterliche Sorge entzogen und sie selber als Vormund ihrer beiden Enkel eingesetzt worden. Die Kinder lebten seit mehr als zehn Jahren bei ihr und würden von ihr betreut. Die leibliche Mutter kümmere sich nicht um ihre Kinder und die Halbwaisenrente sei daher direkt an sie auszubezahlen.</w:t>
      </w:r>
    </w:p>
    <w:p>
      <w:r>
        <w:rPr>
          <w:b/>
        </w:rPr>
        <w:t>E. 5.2</w:t>
      </w:r>
    </w:p>
    <w:p>
      <w:r>
        <w:t>Abgesehen davon, dass sich in den Akten gewichtige Hinweise finden, welche gegen die Sachverhaltsdarlegung der Beschwerdeführerin bezüglich des Verhaltens der Mutter sprechen und die Beschwerdeführerin auch kein Verfahren um Anerkennung des Entscheids der Sozialbehörde X.________ (Kosovo) bei der zuständigen Schweizer Behörde eingeleitet hat, erfüllt die von ihr beigebrachte Verfügung vom 5. Februar 2002 die Voraussetzungen der Anerkennung dieses ausländischen Entscheids nicht; dies gilt ungeachtet dessen, ob nach IPRG das MSA resp. das HKsÜ oder das ESÜ anwendbar ist (vgl. dazu oben E. 4.2). Bei all diesen Übereinkommen wie auch nach Art. 27 IPRG steht die Anerkennung unter dem Vorbehalt des ordre public. Wie die Vorinstanz zu Recht ausführt, widerspricht die Verfügung der Sozialbehörde X.________ (Kosovo) vom 5. Februar 2002 den in der Schweiz geltenden Grundsätzen diametral. Die Verfügung geht davon aus, die Mutter habe F.________ nach dem Tod ihres ersten Ehegatten im Stich gelassen ("abgeworfen"). Eine entsprechende Erklärung der Mutter, wonach sie auf die Ausübung der elterlichen Sorge verzichtet, liegt indessen nicht vor; vielmehr bestehen glaubwürdige Anhaltspunkte, dass die Mutter ihre Söhne unfreiwillig bei deren Grosseltern zurückgelassen hat. Daran ändert auch die von der Beschwerdeführerin aufgelegte und von der Mutter unterzeichnete Vollmacht vom 18. Januar 2002 nichts, da diese nur die Vertretung durch den Schwiegervater vor Behörden zwecks Regelung der Ehescheidung beinhaltete und zwischenzeitlich auch widerrufen wurde. Die Annahme in der Verfügung vom 5. Februar 2002, für F.________ habe keine elterliche Sorge bestanden, ist daher offensichtlich unzutreffend, da diese beim Tod seines Vaters von Gesetzes wegen weiterhin bei der Mutter - nunmehr als alleiniger Inhaberin - verblieb. Es kommt hinzu, dass die Mutter in das Verfahren vor der Sozialbehörde X.________ (Kosovo) nicht einbezogen worden ist (vgl. dazu den Einwand der Mutter im Schreiben vom 14. März 2007 und in der Stellungnahme vor Vorinstanz vom 5. März 2013), obwohl sie durch den Entzug der elterlichen Sorge direkt und in schwerwiegender Weise betroffen ist. Die entsprechende Verfügung war ihr denn auch nicht einmal zugestellt worden, so dass sie keine Möglichkeit hatte, dagegen ein Rechtsmittel zu ergreifen. Unter diesen Umständen liegt ein offensichtlicher und schwerer Verstoss gegen fundamentale Grundsätze der Schweizer Rechtsordnung vor, weshalb der Verfügung vom 5. Februar 2002 gestützt auf Art. 85 Abs. 1 IPRG in Verbindung mit Art. 16 MSA resp. Art. 23 Abs. 2 lit. d und f HKsÜ und auf Art. 10 Abs. 1 lit. a ESÜ (materieller ordre public) sowie gestützt auf Art. 85 Abs. 1 IPRG in Verbindung mit Art. 16 MSA resp. Art. 23 Abs. 2 lit. c HKsÜ und auf Art. 9 Abs. 1 lit. a ESÜ (formeller ordre public; Verletzung des rechtlichen Gehörs) die Anerkennung zu versagen ist. Auch aus der Bescheinigung der Sozialbehörde X.________ (Kosovo) vom 22. Oktober 2008 kann die Beschwerdeführerin nichts zu ihren Gunsten ableiten, basiert diese doch auf der Verfügung vom 5. Februar 2002. Da die Mutter demnach weiterhin Inhaberin der elterlichen Sorge ist, ist die Rente für F.________ - wie jene für E.________ - weiterhin ihr auszurichten.</w:t>
      </w:r>
    </w:p>
    <w:p>
      <w:r>
        <w:rPr>
          <w:b/>
        </w:rPr>
        <w:t>E. 5.3</w:t>
      </w:r>
    </w:p>
    <w:p>
      <w:r>
        <w:t>Auch die übrigen Einwände der Beschwerdeführerin vermögen an diesem Ergebnis nichts zu ändern: Abgesehen davon, dass die für die Drittauszahlung nach Art. 20 Abs. 1 ATSG notwendige Zweckentfremdung der Waisenrenten nicht nachgewiesen ist, handelt es sich dabei auch um eine Kann-Vorschrift, die dem Sozialversicherungsträger ein Ermessen einräumt (vgl. Ueli Kieser, ATSG-Kommentar, 2. Aufl. 2009, N. 10 zu Art. 20 ATSG ). Unter den gegebenen Umständen liegt jedenfalls keine rechtsfehlerhafte Ausübung des Ermessens durch die SUVA vor, indem sie sich gegen eine Drittauszahlung aussprach. Schliesslich kann die Beschwerdeführerin auch aus dem Verweis auf die familienrechtliche Regelung von Pflegekinderverhältnissen ( Art. 300 Abs. 1 und Art. 316 Abs. 1 ZGB ) nichts zu ihren Gunsten ableiten, da es auch hier an einer rechtsgenüglichen behördlichen Bewilligung fehlt.</w:t>
      </w:r>
    </w:p>
    <w:p>
      <w:r>
        <w:rPr>
          <w:b/>
        </w:rPr>
        <w:t>E. 6</w:t>
      </w:r>
    </w:p>
    <w:p>
      <w:r>
        <w:t>Das Verfahren ist kostenpflichtig. Die unterliegende Beschwerdeführerin hat die Gerichtskosten zu tragen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