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789/2009 vom 21. Dezember 2009</w:t>
      </w:r>
    </w:p>
    <w:p>
      <w:r>
        <w:t>Bundesgericht, 2009-12-21, FR</w:t>
      </w:r>
    </w:p>
    <w:p>
      <w:r>
        <w:rPr>
          <w:b/>
        </w:rPr>
        <w:t xml:space="preserve">Quelle: </w:t>
      </w:r>
      <w:r>
        <w:t>https://mcp.opencaselaw.ch/entscheid/bger_8C_789_2009</w:t>
      </w:r>
    </w:p>
    <w:p>
      <w:r>
        <w:t>FR: TF 8C 789/2009 du 21 décembre 2009</w:t>
      </w:r>
    </w:p>
    <w:p>
      <w:r>
        <w:t>IT: TF 8C 789/2009 del 21 dicembre 2009</w:t>
      </w:r>
    </w:p>
    <w:p>
      <w:pPr>
        <w:pStyle w:val="Heading2"/>
      </w:pPr>
      <w:r>
        <w:t>Regeste</w:t>
      </w:r>
    </w:p>
    <w:p>
      <w:r>
        <w:t>Assurance-chômage | Assurance-chômage</w:t>
      </w:r>
    </w:p>
    <w:p>
      <w:pPr>
        <w:pStyle w:val="Heading2"/>
      </w:pPr>
      <w:r>
        <w:t>Erwägungen</w:t>
      </w:r>
    </w:p>
    <w:p>
      <w:r>
        <w:rPr>
          <w:b/>
        </w:rPr>
        <w:t>E. 1.1</w:t>
      </w:r>
    </w:p>
    <w:p>
      <w:r>
        <w:t>Aux termes de l' art. 42 al. 1 LTF , les mémoires doivent être rédigés dans une langue officielle, indiquer les conclusions, les motifs et les moyens de preuve, et être signés. S'il s'agit d'un recours, les conclusions doivent indiquer sur quels points le jugement entrepris est attaqué et quelles sont les modifications demandées. Elles doivent permettre au Tribunal fédéral de comprendre clairement ce que veut obtenir le recourant. A défaut, le recours est d'emblée irrecevable, sans qu'il y ait lieu d'impartir un délai pour le compléter (FLORENCE AUBRY GIRARDIN, in Commentaire de la LTF, 2009, n° 14, 18 et 20 ad art. 42; LAURENT MERZ, in Commentaire bâlois, Bundesgerichtsgesetz, 2008, n° 20 et 22 ad art. 42). Afin d'éviter tout formalisme excessif, le Tribunal fédéral doit cependant replacer les conclusions dans leur contexte et les interpréter à la lumière du mémoire de recours dans son ensemble, en particulier en tenant compte de sa motivation (cf. ATF 133 II 409 consid. 1.4 p. 414; 118 Ib 134 consid. 2 p. 135; AUBRY GIRARDIN, loc. cit.; MERZ, op. cit., n° 18 ad art. 42).</w:t>
      </w:r>
    </w:p>
    <w:p>
      <w:r>
        <w:rPr>
          <w:b/>
        </w:rPr>
        <w:t>E. 1.2</w:t>
      </w:r>
    </w:p>
    <w:p>
      <w:r>
        <w:t>Formellement, le recourant conclut à titre principal à l'annulation du jugement entrepris. Cette conclusion ne permet pas de déterminer ce que le recourant entend obtenir en lieu et place de ce jugement. Il ressort néanmoins de l'ensemble du mémoire de recours que le recourant souhaite en réalité la réforme du jugement cantonal en ce sens que la remise de l'obligation de restituer des prestations de l'assurance-chômage lui soit accordée. Il convient par conséquent d'interpréter dans ce sens les conclusions du recourant et d'entrer en matière sur le recours (cf. ATF 133 II 409 cité).</w:t>
      </w:r>
    </w:p>
    <w:p>
      <w:r>
        <w:rPr>
          <w:b/>
        </w:rPr>
        <w:t>E. 2</w:t>
      </w:r>
    </w:p>
    <w:p>
      <w:r>
        <w:t>Le jugement entrepris expose correctement les règles légales et la jurisprudence relatives à l'obligation de restituer des prestations de l'assurance-chômage ainsi qu'à la remise de cette obligation. Il convient donc d'y renvoyer.</w:t>
      </w:r>
    </w:p>
    <w:p>
      <w:r>
        <w:rPr>
          <w:b/>
        </w:rPr>
        <w:t>E. 3.1</w:t>
      </w:r>
    </w:p>
    <w:p>
      <w:r>
        <w:t>Selon l' art. 97 al. 1 LTF , le recours peut critiquer les constatations de fait des premiers juges à la double condition que ceux-ci aient été établis de façon manifestement inexacte ou en violation du droit au sens de l' art. 95 LTF et que la correction du vice soit susceptible d'influer sur le sort de la cause. Le recourant doit le rendre vraisemblable par une argumentation répondant aux exigences de motivation de la loi sur le Tribunal fédéral (cf. ATF 133 II 249 consid. 1.4.3 p. 254 s.). La notion de « manifestement inexacte » figurant à l' art. 97 al. 1 LTF correspond à celle d'arbitraire au sens de l' art. 9 Cst. ( ATF 133 II 249 consid. 1.2.2 p. 252; 384 consid. 4.2.2 p. 391). S'agissant de l'appréciation des preuves et des constatations de fait, il y a arbitraire lorsque l'autorité ne prend pas en compte, sans aucune raison sérieuse, un élément de preuve propre à modifier sa décision, lorsqu'elle se trompe manifestement sur le sens et la portée d'un tel élément, ou encore lorsque, en se fondant sur le résultat de l'administration des preuves, elle en tire des constatations insoutenables (cf. ATF 129 I 8 consid. 2.1 p. 9; 127 I 38 consid. 2a p. 41).</w:t>
      </w:r>
    </w:p>
    <w:p>
      <w:r>
        <w:rPr>
          <w:b/>
        </w:rPr>
        <w:t>E. 3.2</w:t>
      </w:r>
    </w:p>
    <w:p>
      <w:r>
        <w:t>Selon les constatations de fait des premiers juges, M.________ a faussement annoncé à la Caisse qu'il avait exercé une activité lucrative pour diverses sociétés, notamment Y.________ et X.________; il lui avait remis des attestations d'employeurs qui n'étaient pas conformes à la réalité. Le recourant conteste ces constatations en alléguant qu'il était salarié par Y.________ du 3 août au 30 septembre 1998 et par X.________ du 1er mars au 31 août 1995. Il n'en démontre toutefois pas le caractère manifestement erroné. En particulier, il ne se réfère à aucune pièce probante (extrait de compte bancaire ou postal, par exemple), ni ne cite aucun témoin en vue de démontrer l'exercice effectif d'une activité soumise à cotisation et le paiement effectif d'un salaire (cf. arrêt 8C_185/2007 du 18 mars 2008 consid. 3.2).</w:t>
      </w:r>
    </w:p>
    <w:p>
      <w:r>
        <w:rPr>
          <w:b/>
        </w:rPr>
        <w:t>E. 3.3</w:t>
      </w:r>
    </w:p>
    <w:p>
      <w:r>
        <w:t>M.________ cherche également à démontrer sa bonne foi en prétendant qu'il était uniquement un administrateur de « droit », et non de « fait », des sociétés Y.________ et X.________ et qu'il n'avait pas établi lui-même les attestations d'employeur, ni « les déclarations salariales et sociales » de ces deux sociétés. Il n'en reste pas moins qu'en remettant ces attestations à la Caisse en annexe à ses demandes de prestations, le recourant ne pouvait ignorer qu'il l'induisait en erreur. De ce point de vue également, les premiers juges ont nié à juste titre sa bonne foi.</w:t>
      </w:r>
    </w:p>
    <w:p>
      <w:r>
        <w:rPr>
          <w:b/>
        </w:rPr>
        <w:t>E. 4</w:t>
      </w:r>
    </w:p>
    <w:p>
      <w:r>
        <w:t>Vu ce qui précède, les griefs du recourant sont infondés, ce qui entraîne le rejet de ses conclusions. Il supportera les frais de procédure, conformément à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