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8C_787/2020 vom 26. Mai 2021</w:t>
      </w:r>
    </w:p>
    <w:p>
      <w:r>
        <w:t>Bundesgericht, 2021-05-26, DE</w:t>
      </w:r>
    </w:p>
    <w:p>
      <w:r>
        <w:rPr>
          <w:b/>
        </w:rPr>
        <w:t xml:space="preserve">Quelle: </w:t>
      </w:r>
      <w:r>
        <w:t>https://mcp.opencaselaw.ch/entscheid/bger_8C_787_2020</w:t>
      </w:r>
    </w:p>
    <w:p>
      <w:r>
        <w:t>FR: TF 8C_787/2020 du 26 mai 2021</w:t>
      </w:r>
    </w:p>
    <w:p>
      <w:r>
        <w:t>IT: TF 8C_787/2020 del 26 maggio 2021</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Dennoch prüft es - offensichtliche Fehler vorbehalten - nur die in seinem Verfahren gerügten Rechtsmängel ( Art. 42 Abs. 1 und 2 BGG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der Suva vom 9. Mai 2019 einen Anspruch des Beschwerdeführers auf Integritätsentschädigung verneinte.</w:t>
      </w:r>
    </w:p>
    <w:p>
      <w:r>
        <w:rPr>
          <w:b/>
        </w:rPr>
        <w:t>E. 2.2</w:t>
      </w:r>
    </w:p>
    <w:p>
      <w:r>
        <w:t>Die Vorinstanz legt die rechtlichen Grundlagen zu dem für die Leistungspflicht des Unfallversicherers nach Art. 6 Abs. 1 UVG vorausgesetzten natürlichen Kausalzusammenhang ( BGE 142 V 435 E. 1; 129 V 177 E. 3.1; je mit Hinweisen) zutreffend dar. Korrekt sind auch die Ausführungen zu den Beweiswürdigungsregeln ( Art. 61 lit. c ATSG ), den Anforderungen bezüglich des Beweiswerts von Arztberichten ( BGE 134 V 231 E. 5.1; 125 V 351 E. 3a), sowie der Beweiskraft von Aktengutachten (SVR 2010 UV Nr. 17 S. 63, [Urteil 8C_239/2008 vom 17. Dezember 2009] E. 7.2; statt vieler: Urteil 8C_319/2020 vom 3. September 2020 E. 4.3). Darauf wird verwiesen.</w:t>
      </w:r>
    </w:p>
    <w:p>
      <w:r>
        <w:rPr>
          <w:b/>
        </w:rPr>
        <w:t>E. 2.3</w:t>
      </w:r>
    </w:p>
    <w:p>
      <w:r>
        <w:t>Zu ergänzen ist, dass im verwaltungsgerichtlichen Beschwerdeverfahren grundsätzlich nur Rechtsverhältnisse zu überprüfen und zu beurteilen sind,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414 E. 1a; je mit Hinweisen).</w:t>
      </w:r>
    </w:p>
    <w:p>
      <w:r>
        <w:rPr>
          <w:b/>
        </w:rPr>
        <w:t>E. 3</w:t>
      </w:r>
    </w:p>
    <w:p>
      <w:r>
        <w:t>Das kantonale Gericht stellte zunächst fest, dass die Suva zu Recht ausschliesslich über die Frage der natürliche Kausalität zwischen der Lungenproblematik des Beschwerdeführers und dem Unfallereignis vom 11. Juli 1991 befunden habe. Im Weiteren erachtete es die Vorinstanz nach Würdigung der medizinischen Aktenlage sodann als erstellt, dass kein natürlicher Kausalzusammenhang zwischen dem Unfallereignis vom 11. Juli 1991 und der aktuellen Lungenproblematik bestehe. Dafür stellte sie auf die von der Suva eigens dazu eingeholte Aktenbeurteilung des Pneumologen Dr. med. D.________, Kantonsspital E.________, vom 15. Januar 2019, ab, der sie volle Beweiskraft zuerkannte.</w:t>
      </w:r>
    </w:p>
    <w:p>
      <w:r>
        <w:rPr>
          <w:b/>
        </w:rPr>
        <w:t>E. 4</w:t>
      </w:r>
    </w:p>
    <w:p>
      <w:r>
        <w:t>Was der Beschwerdeführer dagegen vorbringt, vermag nicht ansatzweise aufzuzeigen, inwiefern der angefochtene Entscheid bundesrechtswidrig sein soll.</w:t>
      </w:r>
    </w:p>
    <w:p>
      <w:r>
        <w:rPr>
          <w:b/>
        </w:rPr>
        <w:t>E. 4.1</w:t>
      </w:r>
    </w:p>
    <w:p>
      <w:r>
        <w:t>Die Rüge, sein Gesundheitszustand hätte zwingend gesamthaft beurteilt werden müssen, verfängt nicht. Weshalb die Beschränkung des Verfügungsgegenstands auf die Frage des natürlichen Kausalzusammenhangs zwischen Unfallereignis und der Lungenschädigung unzulässig sein soll, ist nicht einsichtig. Wie das kantonale Gericht zu Recht festgehalten hat, wird die Beschwerdegegnerin über die Unfallkausalität der weiteren geklagten Beschwerden, respektive einen daraus etwaig resultierenden Anspruch auf Versicherungsleistungen, noch zu verfügen haben.</w:t>
      </w:r>
    </w:p>
    <w:p>
      <w:r>
        <w:rPr>
          <w:b/>
        </w:rPr>
        <w:t>E. 4.2</w:t>
      </w:r>
    </w:p>
    <w:p>
      <w:r>
        <w:t>Die Vorinstanz hat sodann für die Beurteilung der natürlichen Kausalität zu Recht auf die Expertise von Dr. med. D.________ abgestellt, welche alle von der Rechtsprechung aufgestellten Kriterien zur Beweiswertigkeit von Aktengutachten vollumfänglich (vgl. E. 2.2 hievor) erfüllt. Die Kritik, wonach die Ausführungen von Dr. med. D.________ unvollständig, unzureichend und voreingenommen seien, ist nicht stichhaltig. Dr. med. D.________ legt schlüssig dar, dass kein Zusammenhang zwischen dem Unfallereignis vom 11. Juli 1991 und der heutigen Lungenproblematik erstellt ist. Es ist aus dem Aktengutachten weiter ersichtlich, dass sich der Beschwerdeführer die Schädigung der Lunge in erster Linie durch jahrzehntelangen Tabakkonsum selbst zugefügt hat. Ausserdem ist entgegen der Ansicht des Beschwerdeführers bei der Beurteilung eines an sich feststehenden medizinischen Sachverhalts gerade nicht zu beanstanden, dass die Vorinstanz der fachärztlichen Aktenbeurteilung des Dr. med. D.________ gefolgt ist, da in diesen Fällen die direkte ärztliche Befassung mit der versicherten Person in den Hintergrund rückt (SVR 2010 UV Nr. 17 S. 63, [Urteil 8C_239/2008 vom 17. Dezember 2009] E. 7.2).</w:t>
      </w:r>
    </w:p>
    <w:p>
      <w:r>
        <w:rPr>
          <w:b/>
        </w:rPr>
        <w:t>E. 4.3</w:t>
      </w:r>
    </w:p>
    <w:p>
      <w:r>
        <w:t>Weiter finden sich in den Akten keine vom Gutachten von Dr. med. D.________ abweichenden Berichte. Daher durfte die Vorinstanz in antizipierter Beweiswürdigung ( BGE 144 V 361 E. 6.5) und ohne den Untersuchungsgrundsatz zu verletzen auf weitere Abklärungen verzichten.</w:t>
      </w:r>
    </w:p>
    <w:p>
      <w:r>
        <w:rPr>
          <w:b/>
        </w:rPr>
        <w:t>E. 5</w:t>
      </w:r>
    </w:p>
    <w:p>
      <w:r>
        <w:t>Die offensichtlich unbegründete Beschwerde wird im vereinfachten Verfahren nach Art. 109 Abs. 2 lit. a BGG - ohne Durchführung eines Schriftenwechsels, mit summarischer Begründung und unter Verweis auf den angefochtenen Entscheid ( Art. 102 Abs. 1 und Art. 109 Abs. 3 BGG ) - erledigt.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