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8C_787/2016 vom 8. Februar 2017</w:t>
      </w:r>
    </w:p>
    <w:p>
      <w:r>
        <w:t>Bundesgericht, 2017-02-08, DE</w:t>
      </w:r>
    </w:p>
    <w:p>
      <w:r>
        <w:rPr>
          <w:b/>
        </w:rPr>
        <w:t xml:space="preserve">Quelle: </w:t>
      </w:r>
      <w:r>
        <w:t>https://mcp.opencaselaw.ch/entscheid/bger_8C_787_2016</w:t>
      </w:r>
    </w:p>
    <w:p>
      <w:r>
        <w:t>FR: TF 8C_787/2016 du 8 février 2017</w:t>
      </w:r>
    </w:p>
    <w:p>
      <w:r>
        <w:t>IT: TF 8C_787/2016 del 8 febbraio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Bundesrecht verletzt hat, indem es die von der Verwaltung verfügte Aufhebung der seit März 2007 ausgerichteten und im Dezember 2011 revisionsweise bestätigten Dreiviertelsrente der Invalidenversicherung bestätigte.</w:t>
      </w:r>
    </w:p>
    <w:p>
      <w:r>
        <w:t>Im angefochtenen Entscheid sind die Bestimmungen und Grundsätze zum Gebot der Selbsteingliederung als Ausdruck der Schadenminderungspflicht der versicherten Person, zur Zumutbarkeit darauf gerichteter Behandlungs- und Eingliederungsmassnahmen, zur Kürzung oder Verweigerung von Leistungen bei Verletzung dieser Pflichten sowie zum Mahn- und Bedenkzeitverfahren zutreffend dargelegt. Darauf wird verwiesen.</w:t>
      </w:r>
    </w:p>
    <w:p>
      <w:r>
        <w:rPr>
          <w:b/>
        </w:rPr>
        <w:t>E. 3.1</w:t>
      </w:r>
    </w:p>
    <w:p>
      <w:r>
        <w:t>Das kantonale Gericht hat erwogen, dem Beschwerdeführer sei im Mahn- und Bedenkzeitverfahren eine Schadenminderungspflicht auferlegt worden. Es nimmt dabei Bezug auf ein Schreiben der Verwaltung vom 4. Juni 2013. Darin wurde festgehalten, die Erwerbsfähigkeit könne mit einer regelmässigen und intensiven fachärztlichen psychiatrisch-psychotherapeutischen Behandlung, mit einem wöchentlichen, allenfalls 14-tägigen Konsultationsrhythmus für die Dauer von zunächst 3 Monaten, bei Behandlungsindikation gemäss Psychiater bis zu 12 Monaten, wesentlich verbessert werden; insbesondere sollte im Rahmen der Behandlung eine schlaffördernde Medikation geprüft werden. Die Verwaltung forderte den Versicherten, unter Hinweis auf dessen Mitwirkungs- und Schadenminderungspflicht sowie die Folgen der Nichtbeachtung gemäss Art. 21 Abs. 4 und Art. 43 Abs. 3 ATSG , auf, sich dieser Behandlung zu unterziehen. Die Vorinstanz hat erkannt, von einer auf dieses Schreiben hin erfolgten intensiven fachärztlichen Behandlung könne keine Rede sein. Die Rente sei daher zu Recht wegen Nichterfüllung der Mitwirkungs- und Schadenminderungspflicht aufgehoben worden.</w:t>
      </w:r>
    </w:p>
    <w:p>
      <w:r>
        <w:rPr>
          <w:b/>
        </w:rPr>
        <w:t>E. 3.2</w:t>
      </w:r>
    </w:p>
    <w:p>
      <w:r>
        <w:t>Der Beschwerdeführer bestreitet, das Schreiben vom 4. Juni 2013 erhalten zu haben resp. über dessen Inhalt informiert worden zu sein. Soweit die Vorinstanz zu einem anderen Ergebnis gelangt sei, beruhe dies u.a. auf einer bundesrechtswidrigen Beweislastverteilung. In der Tat hat das kantonale Gericht erwogen, mangels eines Unzustellbarkeitsnachweises sei nicht davon auszugehen, dass das Schreiben vom 4. Juni 2013 dem Versicherten nicht zugegangen sei. Das widerspricht dem bundesrechtlichen Grundsatz, wonach die Verwaltung die Beweislast dafür trägt, dass die Zustellung tatsächlich erfolgt ist ( BGE 136 V 295 E. 5.9 S. 309 mit Hinweisen, vgl. auch BGE 142 IV 125 E. 4.3 S. 128). Sodann weist das von der Verwaltung aufgelegte Schreiben vom 4. Juni 2013 zwar den Vermerk "Einschreiben" auf. Der Beschwerdeführer macht aber zu Recht geltend, dass kein Beleg dafür vorliegt, dass das Schreiben tatsächlich an ihn versandt und ihm zugestellt wurde. Es ist unbestrittenermassen weder ein Barcode auf einem Couvert aktenkundig noch liegt ein Zustellnachweis über Track&amp;Trace der Post oder durch ein anderweitiges Dokument vor. Dieser Nachweis ergibt sich nicht auch aus dem Schreiben der - mit einer Kopie des Schreibens vom 4. Juni 2013 bedienten - Sozialversicherungsfachstelle der Stadt Winterthur vom 26. Juni 2013. Darin hat die Sozialversicherungsfachstelle unter Bezugnahme auf die geführte Korrespondenz lediglich festgehalten, der Beschwerdeführer sei bei der F.________ in psychiatrischer Behandlung. Zwar mag die Sozialversicherungsfachstelle die Information über diese Behandlung vom Versicherten erhalten haben. Daraus kann aber entgegen der vorinstanzlichen Beurteilung nicht abgeleitet werden, der Beschwerdeführer sei über die Schadenminderungspflicht informiert worden resp. habe deswegen die Behandlung angetreten, hatte doch die psychiatrisch-psychotherapeutische Therapie bei der F.________ gemäss deren Bestätigung vom 23. Mai 2014 bereits am 14. Mai 2013, mithin vor dem Verwaltungsschreiben vom 4. Juni 2013, begonnen. Der Versicherte rügt daher zu Recht als willkürlich, dass das kantonale Gericht trotz fehlenden Nachweises geschlossen hat, er sei über die mit Schreiben vom 4. Juni 2013 auferlegte Schadenminderungspflicht und die Androhung der Folgen bei Nichtbeachtung informiert gewesen. Damit kann offen bleiben, ob der Versicherte, wie von ihm geltend gemacht, sich nicht ohnehin aus eigenem Antrieb einer Therapie unterzogen hat, welche der Schadenminderungspflicht gemäss dem besagten Schreiben genügen würde.</w:t>
      </w:r>
    </w:p>
    <w:p>
      <w:r>
        <w:rPr>
          <w:b/>
        </w:rPr>
        <w:t>E. 4</w:t>
      </w:r>
    </w:p>
    <w:p>
      <w:r>
        <w:t>Nach dem Gesagten hat das kantonale Gericht bundesrechtswidrig entschieden, der Versicherte sei über die mit Verwaltungsschreiben vom 4. Juni 2013 auferlegte Schadenminderungspflicht informiert gewesen. Damit hat auch kein rechtsgültiges Mahn- und Bedenkzeitverfahren stattgefunden. Zu prüfen bleibt, ob die Rentenaufhebung dennoch rechtsgültig erfolgt ist.</w:t>
      </w:r>
    </w:p>
    <w:p>
      <w:r>
        <w:t>Die Vorinstanz hat ergänzend erwogen, die Rente wäre auch ohne Auferlegung einer Schadenminderungspflicht zu Recht aufgehoben worden. Denn eine invalidisierende Wirkung der gesundheitlichen Beeinträchtigung und damit ein Rentenanspruch sei ohnehin zu verneinen. Das kantonale Gericht legt aber nicht dar, dass eine erhebliche Änderung der tatsächlichen Verhältnisse eingetreten ist, welche eine revisionsweise Aufhebung der Rente nach Art. 17 Abs. 1 ATSG begründen könnte. Es scheint denn auch einen Rentenanspruch eher von Beginn weg zu verneinen, legt aber nicht dar, inwiefern sich dies auf einen Rückkommenstitel im Sinne einer prozessualen Revision ( Art. 53 Abs. 1 ATSG ) resp. einer Wiedererwägung ( Art. 53 Abs. 2 ATSG ) stützen liesse. Ein Rechtsgrund für die substituierte Begründung ist daher nicht gegeben. Dies führt zur Gutheissung der Beschwerde. Der Versicherte verweist im Übrigen zu Recht darauf, dass ihm zu einer solchen neuen Entscheidsbegründung vorab das rechtliche Gehör hätte gewährt werden müssen.</w:t>
      </w:r>
    </w:p>
    <w:p>
      <w:r>
        <w:rPr>
          <w:b/>
        </w:rPr>
        <w:t>E. 5</w:t>
      </w:r>
    </w:p>
    <w:p>
      <w:r>
        <w:t>Die unterliegende Beschwerdegegnerin hat die Kosten zu tragen ( Art. 66 Abs. 1 BGG ) und dem Beschwerdeführer eine Parteientschädigung zu bezahlen ( Art. 68 Abs. 1 und 2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