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8C_786/2019 vom 20. Februar 2020</w:t>
      </w:r>
    </w:p>
    <w:p>
      <w:r>
        <w:t>Bundesgericht, 2020-02-20, DE</w:t>
      </w:r>
    </w:p>
    <w:p>
      <w:r>
        <w:rPr>
          <w:b/>
        </w:rPr>
        <w:t xml:space="preserve">Quelle: </w:t>
      </w:r>
      <w:r>
        <w:t>https://mcp.opencaselaw.ch/entscheid/bger_8C_786_2019</w:t>
      </w:r>
    </w:p>
    <w:p>
      <w:r>
        <w:t>FR: TF 8C_786/2019 du 20 février 2020</w:t>
      </w:r>
    </w:p>
    <w:p>
      <w:r>
        <w:t>IT: TF 8C_786/2019 del 20 febbraio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ob die Vorinstanz zu Recht die Leistungseinstellung der Suva per 19. Juli 2017 bestätigt hat.</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Die Unfallversicherung erbringt in Anwendung von Art. 6 Abs. 3 UVG ihre Leistungen ausserdem für Schädigungen, die dem Verunfallten bei der Heilbehandlung zugefügt werden. Gestützt auf diesen Gesetzesartikel bestimmt Art. 10 UVV , dass der Versicherer seine Leistungen auch zu erbringen hat für Körperschädigungen, die der Versicherte durch von ihm angeordnete oder sonst wie notwendig gewordene medizinische Abklärungsuntersuchungen erleidet.</w:t>
      </w:r>
    </w:p>
    <w:p>
      <w:r>
        <w:rPr>
          <w:b/>
        </w:rPr>
        <w:t>E. 4.1</w:t>
      </w:r>
    </w:p>
    <w:p>
      <w:r>
        <w:t>Das kantonale Gericht hat in umfassender Würdigung der medizinischen Akten erwogen, die über den 19. Juli 2017 hinaus noch bestehenden Beschwerden seien nicht mehr durch das Unfallereignis vom 19. Januar 2017 verursacht. Was der Beschwerdeführer hiegegen vorbringt, vermag keine Zweifel an dieser vorinstanzlichen Sachverhaltsfeststellung zu begründen. Zwar mag es zutreffen, dass die heute noch bestehenden Beschwerden in erster Linie auf die am 28. November 2018 diagnostizierten Schädigungen in der rechten Schulter zurückzuführen sind. Wie die Vorinstanz jedoch gestützt auf die medizinischen Beurteilungen nachvollziehbar erwogen hat, erscheint ein Sturz auf die linke Seite nicht geeignet, solche Schädigungen an der rechten Schulter auszulösen. Demgegenüber ist keine Stellungnahme einer medizinischen Fachperson ersichtlich, in welcher ein Kausalzusammenhang zwischen diesem Sturz vom 19. Januar 2017 und den am 28. November 2018 diagnostizierten Schädigungen der rechten Schulter postuliert würde.</w:t>
      </w:r>
    </w:p>
    <w:p>
      <w:r>
        <w:rPr>
          <w:b/>
        </w:rPr>
        <w:t>E. 4.2</w:t>
      </w:r>
    </w:p>
    <w:p>
      <w:r>
        <w:t>Der Beschwerdeführer macht weiter unter Hinweis auf Art. 10 UVV geltend, bei gebotener Sorgfalt hätten die behandelnden Ärzten sein Leiden in der rechten Schulter bereits früher entdecken müssen. Wie es sich damit verhält, kann indessen für die vorliegend streitigen Belange offenbleiben: Rechtsprechungsgemäss haftet die Unfallversicherung auch nach Art. 6 Abs. 3 UVG und Art. 10 UVV nicht für eine nicht in einem Zusammenhang mit dem Unfall stehende Krankheit, die bei einer Heilbehandlung im Sinne von Art. 10 UVG unentdeckt blieb (vgl. BGE 128 V 169 ). Selbst wenn daher von einer verspäteten Entdeckung des Leidens in der rechten Schulter auszugehen wäre, würde dies noch keine Leistungspflicht der Suva für diese - unfallfremde (vgl. E. 4.1 hievor) - Erkrankung auslösen.</w:t>
      </w:r>
    </w:p>
    <w:p>
      <w:r>
        <w:rPr>
          <w:b/>
        </w:rPr>
        <w:t>E. 4.3</w:t>
      </w:r>
    </w:p>
    <w:p>
      <w:r>
        <w:t>Demnach hat die Vorinstanz zu Recht eine über den 19. Juli 2017 hinausgehende Leistungspflicht der Unfallversicherung verneint. Die offensichtlich unbegründete Beschwerde ist im Verfahren nach Art. 109 Abs. 2 lit. a BGG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