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785/2023 vom 30. Januar 2024</w:t>
      </w:r>
    </w:p>
    <w:p>
      <w:r>
        <w:t>Bundesgericht, 2024-01-30, DE</w:t>
      </w:r>
    </w:p>
    <w:p>
      <w:r>
        <w:rPr>
          <w:b/>
        </w:rPr>
        <w:t xml:space="preserve">Quelle: </w:t>
      </w:r>
      <w:r>
        <w:t>https://mcp.opencaselaw.ch/entscheid/bger_8C_785_2023</w:t>
      </w:r>
    </w:p>
    <w:p>
      <w:r>
        <w:t>FR: TF 8C 785/2023 du 30 janvier 2024</w:t>
      </w:r>
    </w:p>
    <w:p>
      <w:r>
        <w:t>IT: TF 8C 785/2023 del 30 gennaio 2024</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Das kantonale Gericht bestätigte im gemäss postamtlicher Bescheinigung dem damaligen Rechtsvertreter der Beschwerdeführerin am 3. November 2023 ausgehändigten Entscheid vom 17. Oktober 2023 den Einspracheentscheid der Beschwerdegegnerin vom 3. März 2022, worin die Beschwerdeführerin zur Rückerstattung von zuviel bezogenen Taggeldern in der Zeit zwischen 1. Februar 2017 und 31. August 2021 von Fr. 50'326.10 verpflichtet wurde. Als Grund für die nachträgliche Reduktion des Taggeldanspruchs nannte es die Verfügung der Invalidenversicherung vom 12. Januar 2022, mit welcher der Beschwerdeführerin rückwirkend ab 1. Februar 2017 eine ganze Invalidenrente zugesprochen wurde (Invaliditätsgrad: 97 %), wobei der versicherte Verdienst unter Verweis auf den gleichentags ergangenen Entscheid AVI 2022/34 neu auf Fr. 600.- festlegt wurde.</w:t>
      </w:r>
    </w:p>
    <w:p>
      <w:r>
        <w:rPr>
          <w:b/>
        </w:rPr>
        <w:t>E. 4</w:t>
      </w:r>
    </w:p>
    <w:p>
      <w:r>
        <w:t>Die Beschwerdeführerin zeigt in ihrer zwei Tage vor der gemäss Art. 44 - 48 und Art. 100 Abs. 1 BGG am 4. Dezember 2023 abgelaufenen Rechtsmittelfrist eingereichten Rechtsschrift nicht auf, inwieweit die von der Vorinstanz in diesem Zusammenhang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Allein Randziffer C27 der AVIG-Praxis ALE des SECO anzurufen, um das im Entscheid AVI 2022/34 zur Höhe des versicherten Verdiensts Erwogene zu beanstanden, reicht nicht aus. Inwiefern diese allein behördenverbindliche Weisungsbestimmung die Anwendung von Art. 40b AVIV bei der Neufestlegung des versicherten Verdienstes bundesrechtswidrig erscheinen lässt, ist damit nicht hinreichend belegt.</w:t>
      </w:r>
    </w:p>
    <w:p>
      <w:r>
        <w:rPr>
          <w:b/>
        </w:rPr>
        <w:t>E. 5</w:t>
      </w:r>
    </w:p>
    <w:p>
      <w:r>
        <w:t>Da dieser Begründungsmangel offensichtlich ist, führt dies zu einem Nichteintreten auf das Rechtsmittel im vereinfachten Verfahren nach Art. 108 Abs. 1 lit. b BGG . Daran vermag die am 14. Dezember 2023 erfolgte weitere Eingabe nichts zu ändern (E. 2 hiervor).</w:t>
      </w:r>
    </w:p>
    <w:p>
      <w:r>
        <w:rPr>
          <w:b/>
        </w:rPr>
        <w:t>E. 6</w:t>
      </w:r>
    </w:p>
    <w:p>
      <w:r>
        <w:t>In Anwendung von Art. 66 Abs. 1 Satz 2 BGG wird ausnahmsweise auf die Erhebung von Gerichtskosten verzichtet. Damit wird das mit Eingabe vom 14. Dezember 2023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