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8C_783/2023 vom 21. Dezember 2023</w:t>
      </w:r>
    </w:p>
    <w:p>
      <w:r>
        <w:t>Bundesgericht, 2023-12-21, DE</w:t>
      </w:r>
    </w:p>
    <w:p>
      <w:r>
        <w:rPr>
          <w:b/>
        </w:rPr>
        <w:t xml:space="preserve">Quelle: </w:t>
      </w:r>
      <w:r>
        <w:t>https://mcp.opencaselaw.ch/entscheid/bger_8C_783_2023</w:t>
      </w:r>
    </w:p>
    <w:p>
      <w:r>
        <w:t>FR: TF 8C_783/2023 du 21 décembre 2023</w:t>
      </w:r>
    </w:p>
    <w:p>
      <w:r>
        <w:t>IT: TF 8C_783/2023 del 21 dicembre 2023</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Die Vorinstanz legte im angefochtenen Urteil vom 9. Oktober 2023 in Auseinandersetzung mit den Parteivorbringen und in Würdigung der Akten ausführlich dar, weshalb die Reduktion der Sozialhilfegelder bezüglich der Wohnkosten um Fr. 400.- auf den Maximalmietzins von Fr. 850.- pro Monat für einen Einpersonen-Haushalt gemäss den geltenden Mietzinsrichtlinien der Stadt Luzern rechtens war. Sie begründete umfassend, weshalb es der Beschwerdeführerin trotz ihrer psychischen Belastung und ihrer persönlichen Verhältnisse zuzumuten war, innert einer Zeitspanne von über einem Jahr entsprechende Such- oder andere Bemühungen betreffend einer günstigeren Wohnform einzuleiten.</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sollten. Ebenso wenig vermag sie darzulegen, weshalb die darauf beruhenden Erwägungen gegen Bundesrecht verstossen oder einen anderen Beschwerdegrund (vgl. Art. 95 lit. a-e BGG ) gesetzt haben könnten. Insbesondere genügt es nicht, die Verletzung von Grundrechten zu behaupten und zu rügen, die Ausführungen der Vorinstanz seien nicht nachvollziehbar (vgl. E. 1 hiervor zur qualifizierten Rügepflicht). Es bleibt trotz der an Weitschweifigkeit grenzenden Eingabe letztlich unklar, was sich aus den äusserst zahlreichen, vielfach aber gleich lautenden Rügen ergebnisrelevant zu Gunsten der Beschwerdeführerin ableiten liesse.</w:t>
      </w:r>
    </w:p>
    <w:p>
      <w:r>
        <w:rPr>
          <w:b/>
        </w:rPr>
        <w:t>E. 4</w:t>
      </w:r>
    </w:p>
    <w:p>
      <w:r>
        <w:t>Erweist sich die Beschwerde insgesamt als offensichtlich unzureichend begründet, führt dies zu einem Nichteintreten auf das Rechtsmittel im vereinfachten Verfahren nach Art. 108 Abs. 1 lit. b BGG .</w:t>
      </w:r>
    </w:p>
    <w:p>
      <w:r>
        <w:rPr>
          <w:b/>
        </w:rPr>
        <w:t>E. 5</w:t>
      </w:r>
    </w:p>
    <w:p>
      <w:r>
        <w:t>Das in der Beschwerdeschrift sinngemäss gestellte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