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8C_782/2016 vom 12. Oktober 2017</w:t>
      </w:r>
    </w:p>
    <w:p>
      <w:r>
        <w:t>Bundesgericht, 2017-10-12, DE</w:t>
      </w:r>
    </w:p>
    <w:p>
      <w:r>
        <w:rPr>
          <w:b/>
        </w:rPr>
        <w:t xml:space="preserve">Quelle: </w:t>
      </w:r>
      <w:r>
        <w:t>https://mcp.opencaselaw.ch/entscheid/bger_8C_782_2016</w:t>
      </w:r>
    </w:p>
    <w:p>
      <w:r>
        <w:t>FR: TF 8C_782/2016 du 12 octobre 2017</w:t>
      </w:r>
    </w:p>
    <w:p>
      <w:r>
        <w:t>IT: TF 8C_782/2016 del 12 ottobre 2017</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ob das kantonale Gericht die Rentenaufhebung zu Recht bestätigt hat. Die Beschwerdeführerin macht geltend, die nach der Geburt ihrer Tochter erfolgte Revision sei mit Blick auf das Urteil des Europäischen Gerichtshofs für Menschenrechte (EGMR) in Sachen Di Trizio gegen die Schweiz vom 2. Februar 2016 (7186/09) unzulässig gewesen.</w:t>
      </w:r>
    </w:p>
    <w:p>
      <w:r>
        <w:t>Das kantonale Gericht hat die für die Rentenrevision ( Art. 17 ATSG ) massgeblichen Bestimmungen und Grundsätze zutreffend dargelegt. Es wird darauf verwiesen.</w:t>
      </w:r>
    </w:p>
    <w:p>
      <w:r>
        <w:rPr>
          <w:b/>
        </w:rPr>
        <w:t>E. 3.1</w:t>
      </w:r>
    </w:p>
    <w:p>
      <w:r>
        <w:t>Dem erwähnten EGMR-Urteil vom 2. Februar 2016 lag der Fall einer Versicherten zugrunde, welche unter dem Status einer Vollerwerbstätigen eine Invalidenrente beanspruchen konnte und diesen Anspruch allein aufgrund des Umstandes verlor, dass sie wegen der Geburt ihrer Kinder und der damit einhergehenden Reduktion des Erwerbspensums für die Invaliditätsbemessung neu als Teilerwerbstätige mit einem Aufgabenbereich qualifiziert wurde. Der EGMR betrachtete es als Verletzung von Art. 14 (Diskriminierungsverbot) in Verbindung mit Art. 8 EMRK (Recht auf Achtung des Familienlebens), dass die sich aus dem Statuswechsel ergebende Änderung in den Grundlagen der Invaliditätsbemessung - anstelle des auf Vollerwerbstätige anwendbaren Einkommensvergleichs ( Art. 28a Abs. 1 IVG in Verbindung mit Art. 16 ATSG ) gelangte nun die gemischte Methode ( Art. 28a Abs. 3 IVG ) zur Anwendung - zur Aufhebung der Invalidenrente führte und sich damit zu Ungunsten der Versicherten auswirkte.</w:t>
      </w:r>
    </w:p>
    <w:p>
      <w:r>
        <w:t>In seinem zur Umsetzung des EGMR-Urteils vom 2. Februar 2016 ergangenen, in BGE 143 I 50 publizierten Urteil 9F_8/2016 vom 20. Dezember 2016 (E. 4.1 und 4.2) entschied das Bundesgericht, dass zwecks Herstellung eines konventionskonformen Zustandes in derartigen Konstellationen fortan auf die Aufhebung der Invalidenrente im Sinne von Art. 17 Abs. 1 ATSG allein zufolge eines Statuswechsels von "vollerwerbstätig" zu "teilerwerbstätig" (mit Aufgabenbereich) zu verzichten ist (vgl. auch IV-Rundschreiben Nr. 355 des BSV vom 31. Oktober 2016, mit Aktualisierung per 26. Mai 2017). Für die Versicherte, die damals am Recht stand, hatte dies zur Folge, dass sie unverändert Anspruch auf die bisher ausgerichtete Invalidenrente hatte. Gleiches gilt, wenn der beschriebene Statuswechsel nicht zu einer vollständigen, sondern lediglich zu einer teilweisen Aufhebung der Invalidenrente im Sinne einer Rentenherabsetzung führt; auch diesfalls besteht der Anspruch auf die bisher ausgerichtete Rente fort ( BGE 143 I 60 ; Urteil 9C_752/2016 vom 6. September 2017 E. 4.1 und 4.2, zur Publikation vorgesehen).</w:t>
      </w:r>
    </w:p>
    <w:p>
      <w:r>
        <w:rPr>
          <w:b/>
        </w:rPr>
        <w:t>E. 3.2</w:t>
      </w:r>
    </w:p>
    <w:p>
      <w:r>
        <w:t>Gestützt auf die dargelegte Rechtsprechung ist festzustellen, dass die von der Vorinstanz bestätigte Aufhebung der Rente wegen der Geburt der Tochter der Beschwerdeführerin und der dadurch bedingten hypothetischen Reduktion des Arbeitspensums auf 70 Prozent unzulässig war. Im Folgenden ist daher die Versicherte als Vollerwerbstätige zu behandeln.</w:t>
      </w:r>
    </w:p>
    <w:p>
      <w:r>
        <w:rPr>
          <w:b/>
        </w:rPr>
        <w:t>E. 4.1</w:t>
      </w:r>
    </w:p>
    <w:p>
      <w:r>
        <w:t>Nach der Vorinstanz war seit der Rentenzusprechung ab dem 1. März 2008 mit Verfügung vom 29. Oktober 2009 eine wesentliche Verbesserung des Gesundheitszustandes eingetreten. Sie stellte dabei auf das Gutachten des Dr. med. E.________ ab, welches sie als voll beweiskräftig erachtete. Danach seien die in den früheren Berichten beschriebenen ausgeprägten psychischen Symptome aktuell nicht mehr festzustellen. Diagnostiziert seien eine rezidivierende depressive Störung, gegenwärtig leichte depressive Episode, ohne Chronifizierungstendenz (ICD-10 F 33.0), im Sinne einer teilremittierten mittelgradigen depressiven Episode, eine einfache Aktivitäts- und Aufmerksamkeitsstörung (ICD-10 F90.0) sowie akzentuierte Persönlichkeitszüge mit histrionischen, emotional-instabilen und dependenten Zügen (ICD-10 Z73.1). Vermerkt seien des Weiteren ein Status nach Bulimia nervosa (ICD-10 F50.2) sowie nach schädlichem Gebrauch von Sedativa und Hypnotika, insbesondere Benzodiazepinen (ICD-10 F13.1). Mit dem Gutachter nahm die Vorinstanz eine 50-prozentige Arbeitsfähigkeit an.</w:t>
      </w:r>
    </w:p>
    <w:p>
      <w:r>
        <w:rPr>
          <w:b/>
        </w:rPr>
        <w:t>E. 4.2</w:t>
      </w:r>
    </w:p>
    <w:p>
      <w:r>
        <w:t>Dass seit der ursprünglichen Rentenzusprechung am 29. Oktober 2009 eine gesundheitliche Verbesserung mit Steigerung der Arbeitsfähigkeit (von damals 20 Prozent auf 50 Prozent) eingetreten ist, bleibt letztinstanzlich unbestritten. Die vorinstanzlichen Feststellungen geben diesbezüglich keinen Anlass zu Weiterungen. Die Voraussetzungen für eine Rentenrevision aus gesundheitlichen Gründen sind daher erfüllt.</w:t>
      </w:r>
    </w:p>
    <w:p>
      <w:r>
        <w:rPr>
          <w:b/>
        </w:rPr>
        <w:t>E. 4.3</w:t>
      </w:r>
    </w:p>
    <w:p>
      <w:r>
        <w:t>Das kantonale Gericht stellte hinsichtlich der erwerblichen Auswirkungen fest, dass die Beschwerdeführerin als Gesunde ein Einkommen von 62'675 Franken erzielen würde. Mit Rücksicht auf die psychisch bedingte Einschränkung sei ihr bei einem zumutbaren 50-Prozent-Pensum ein statistischer Durchschnittsverdienst von 32'327 Franken anzurechnen (Tabellenlohn nach der vom Bundesamt für Statistik herausgegebenen Lohnstrukturerhebung, LSE). Dies ist unbestritten geblieben und der vorinstanzliche Entscheid gibt diesbezüglich keinen Anlass zu Weiterungen. Aus dem Vergleich dieser beiden Einkommen resultiert ein Invaliditätsgrad von 48 Prozent. Der Anspruch der Beschwerdeführerin ist ab dem 1. April 2016 von einer ganzen auf eine Viertelsrente herabzusetzen ( Art. 28 Abs. 2 IVG ; Art. 85 Abs. 2 und Art. 88bis Abs. 2 lit. a IVV ).</w:t>
      </w:r>
    </w:p>
    <w:p>
      <w:r>
        <w:rPr>
          <w:b/>
        </w:rPr>
        <w:t>E. 5</w:t>
      </w:r>
    </w:p>
    <w:p>
      <w:r>
        <w:t>Das Verfahren ist kostenpflichtig ( Art. 65 BGG ). Die Gerichtskosten werden dem Prozessausgang entsprechend der IV-Stelle auferlegt ( Art. 66 Abs. 1 Satz 1 BGG ); des Weiteren hat sie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