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8C_782/2008 vom 24. Oktober 2008</w:t>
      </w:r>
    </w:p>
    <w:p>
      <w:r>
        <w:t>Bundesgericht, 2008-10-24, DE</w:t>
      </w:r>
    </w:p>
    <w:p>
      <w:r>
        <w:rPr>
          <w:b/>
        </w:rPr>
        <w:t xml:space="preserve">Quelle: </w:t>
      </w:r>
      <w:r>
        <w:t>https://mcp.opencaselaw.ch/entscheid/bger_8C_782_2008</w:t>
      </w:r>
    </w:p>
    <w:p>
      <w:r>
        <w:t>FR: TF 8C_782/2008 du 24 octobre 2008</w:t>
      </w:r>
    </w:p>
    <w:p>
      <w:r>
        <w:t>IT: TF 8C_782/2008 del 24 ottobre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 veröffentlicht in SVR 2008 AlV Nr. 12 S. 35). Das Bundesgericht darf nicht über die Begehren der Parteien hinausgehen ( Art. 107 Abs. 1 BGG ).</w:t>
      </w:r>
    </w:p>
    <w:p>
      <w:r>
        <w:rPr>
          <w:b/>
        </w:rPr>
        <w:t>E. 2</w:t>
      </w:r>
    </w:p>
    <w:p>
      <w:r>
        <w:t>Der Versicherte reicht neu einen Bericht des Dr. med. G.________, FMH für Orthopädische Chirurgie und Traumatologie des Bewegungsapparates, vom 6. Februar 2007 ein. Neue Tatsachen und Beweismittel dürfen nur soweit vorgebracht werden, als der Entscheid der Vorinstanz dazu Anlass gibt ( Art. 99 Abs. 1 BGG ). Demnach sind die Parteien grundsätzlich gehalten, alle rechtsrelevanten Tatsachen und Beweismittel bereits bei den Vorinstanzen zu nennen. Gründe zur Abweichung von dieser Regel werden nicht geltend gemacht und sind nicht erkennbar. Der Versicherte legt nicht dar, dass ihm die Beibringung des Berichts bei der Vorinstanz, die den Schriftenwechsel erst am 25. Oktober 2007 geschlossen hatte, prozessual unmöglich und objektiv unzumutbar war (vgl. Urteil 8C_812/2007 vom 6. Oktober 2008, E. 4 mit Hinweis).</w:t>
      </w:r>
    </w:p>
    <w:p>
      <w:r>
        <w:rPr>
          <w:b/>
        </w:rPr>
        <w:t>E. 3.1</w:t>
      </w:r>
    </w:p>
    <w:p>
      <w:r>
        <w:t>Die streitige Verfügung datiert vom 3. Juli 2007, weshalb die am 1. Januar 2008 in Kraft getretenen Änderungen des IVG vom 6. Oktober 2006 und der IVV vom 28. September 2007 (5. IV-Revision) nicht anwendbar sind ( BGE 129 V 354 E. 1 S. 356).</w:t>
      </w:r>
    </w:p>
    <w:p>
      <w:r>
        <w:rPr>
          <w:b/>
        </w:rPr>
        <w:t>E. 3.2</w:t>
      </w:r>
    </w:p>
    <w:p>
      <w:r>
        <w:t>Die Vorinstanz hat die Rechtsprechung zum invalidisierenden Charakter psychischer Gesundheitsschäden ( BGE 130 V 352 , 127 V 294) zutreffend dargelegt. Darauf wird verwiesen.</w:t>
      </w:r>
    </w:p>
    <w:p>
      <w:r>
        <w:rPr>
          <w:b/>
        </w:rPr>
        <w:t>E. 3.3</w:t>
      </w:r>
    </w:p>
    <w:p>
      <w:r>
        <w:t>Tritt die Verwaltung auf eine Neuanmeldung ( Art. 87 Abs. 4 IVV ) ein, so hat sie die Sache materiell abzuklären und sich zu vergewissern, ob die vom Versicherten glaubhaft gemachte Veränderung des Invaliditätsgrades auch tatsächlich eingetreten ist. Nach der Rechtsprechung hat sie in analoger Weise wie bei einem Revisionsfall ( Art. 17 ATSG ) vorzugehen. Stellt sie fest, dass der Invaliditätsgrad seit Erlass der früheren rechtskräftigen Verfügung (zur massgebenden zeitlichen Vergleichsbasis vgl. BGE 133 V 108 )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BGE 130 V 64 E. 2 S. 66, 117 V 198 E. 3a). Zur Revision darf geschritten werden, wenn die für den Rentenanspruch erheblichen tatsächlichen Verhältnisse gesundheitlicher und/oder erwerblicher Natur wesentlich geändert haben ( BGE 130 V 343 E. 3.5 S. 349; SVR 2004 IV Nr. 5 S. 13 E. 2, I 574/02; Urteil 8C_223/2007 vom 2. November 2007, E. 2.2).</w:t>
      </w:r>
    </w:p>
    <w:p>
      <w:r>
        <w:rPr>
          <w:b/>
        </w:rPr>
        <w:t>E. 3.4</w:t>
      </w:r>
    </w:p>
    <w:p>
      <w:r>
        <w:t>Die aufgrund medizinischer Untersuchungen gerichtlich festgestellte Arbeits(un)fähigkeit bzw. deren Veränderung in einem revisionsrechtlich relevanten Sinne ist Entscheidung über eine Tatfrage. Soweit die Beurteilung der Zumutbarkeit von Arbeitsleistungen auf die allgemeine Lebenserfahrung gestützt wird, geht es um eine Rechtsfrage ( BGE 132 V 393 E. 3.2 S. 397 ff.). Die Beachtung des Untersuchungsgrundsatzes sowie der Beweiswürdigungsregeln nach Art. 43 Abs. 1 und Art. 61 lit. c ATSG ist Rechtsfrage. Die konkrete Beweiswürdigung wie auch die antizipierte Beweiswürdigung (als Teil derselben) betreffen eine Tatfrage (Urteil 8C_456/2007 vom 9. September 2008, E. 3, erwähntes Urteil 8C_223/2007, E. 3, je mit Hinweisen).</w:t>
      </w:r>
    </w:p>
    <w:p>
      <w:r>
        <w:rPr>
          <w:b/>
        </w:rPr>
        <w:t>E. 4</w:t>
      </w:r>
    </w:p>
    <w:p>
      <w:r>
        <w:t>Verwaltung und Vorinstanz haben in Würdigung der medizinischen Aktenlage (zum Beweiswert von Arztberichten vgl. BGE 134 V 231 E. 5.1 S. 232 mit Hinweisen) zutreffend festgestellt, dass der Beschwerdeführer keinen Anspruch auf eine Invalidenrente hat. Sämtliche Vorbringen des Versicherten, die sich in erster Linie in rein appellatorischer Kritik des vorinstanzlichen Entscheides erschöpfen, vermögen an diesem Ergebnis nichts zu ändern. Er erhebt keine Rügen, welche die Sachverhaltsfeststellung der Vorinstanz betreffend seinen Gesundheitszustand und seine Arbeitsfähigkeit als offensichtlich unrichtig oder auf einer Rechtsverletzung im Sinne von Art. 95 BGG beruhend erscheinen lassen (vgl. E. 1 hievor). Der durchgeführte Einkommensvergleich (hiezu vgl. BGE 132 V 393 E. 3.3. S. 399) wird vom Versicherten nicht in Frage gestellt und ist nicht zu beanstanden. Bei der gegebenen Aktenlage kann in antizipierter Beweiswürdigung (dazu BGE 131 I 153 E. 3 S. 157, 124 V 90 E. 4b S. 94) auf weitere Beweismassnahmen verzichtet werden.</w:t>
      </w:r>
    </w:p>
    <w:p>
      <w:r>
        <w:rPr>
          <w:b/>
        </w:rPr>
        <w:t>E. 5</w:t>
      </w:r>
    </w:p>
    <w:p>
      <w:r>
        <w:t>Die offensichtlich unbegründete Beschwerde wird im Verfahren nach Art. 109 Abs. 2 lit. a BGG erledigt. Die Gerichtskosten sind dem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