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8C_781/2016 vom 2. Februar 2017</w:t>
      </w:r>
    </w:p>
    <w:p>
      <w:r>
        <w:t>Bundesgericht, 2017-02-02, DE</w:t>
      </w:r>
    </w:p>
    <w:p>
      <w:r>
        <w:rPr>
          <w:b/>
        </w:rPr>
        <w:t xml:space="preserve">Quelle: </w:t>
      </w:r>
      <w:r>
        <w:t>https://mcp.opencaselaw.ch/entscheid/bger_8C_781_2016</w:t>
      </w:r>
    </w:p>
    <w:p>
      <w:r>
        <w:t>FR: TF 8C_781/2016 du 2 février 2017</w:t>
      </w:r>
    </w:p>
    <w:p>
      <w:r>
        <w:t>IT: TF 8C_781/2016 del 2 febbraio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2.1</w:t>
      </w:r>
    </w:p>
    <w:p>
      <w:r>
        <w:t>Streitig und zu prüfen ist, ob die Vorinstanz Bundesrecht verletzte, indem sie die Reduktion der bisherigen ganzen Rente auf eine halbe per 1. März 2014 bestätigte.</w:t>
      </w:r>
    </w:p>
    <w:p>
      <w:r>
        <w:rPr>
          <w:b/>
        </w:rPr>
        <w:t>E. 2.2.1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2.2.3</w:t>
      </w:r>
    </w:p>
    <w:p>
      <w:r>
        <w:t>Die Beurteilung sozialversicherungsrechtlicher Leistungsan-sprüche bedarf verlässlicher medizinischer Entscheidungsgrundlagen.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Im Verwaltungs- und im kantonalen Beschwerdeverfahren gilt der Untersuchungsgrundsatz ( Art. 43 Abs. 1, Art. 61 lit. c ATSG ).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folgt vielmehr jener Sachverhaltsdarstellung, die er von allen möglichen Geschehensabläufen als die wahrscheinlichste würdigt ( BGE 126 V 353 E. 5b S. 360 mit Hinweisen; vgl. BGE 130 III 321 E. 3.2 und 3.3 S. 324 f.).</w:t>
      </w:r>
    </w:p>
    <w:p>
      <w:r>
        <w:rPr>
          <w:b/>
        </w:rPr>
        <w:t>E. 3</w:t>
      </w:r>
    </w:p>
    <w:p>
      <w:r>
        <w:t>Das kantonale Gericht stellte zunächst fest, die Rentenerhöhungsverfügung vom 14. August 2003 sei im Wesentlichen gestützt auf das MEDAS-Gutachten vom 28. Februar 2003 erfolgt. Demgegenüber beruhe die im Streite liegende Verfügung vom 23. Januar 2014 auf dem Verlaufsgutachten derselben Abklärungsstelle vom 12. Mai 2010. Obwohl dieses bei Verfügungserlass bereits knapp vier Jahre alt gewesen sei, stehe fest, dass der Gesundheitszustand des Beschwerdeführers in den Jahren 2010 bis 2014 keine relevante dauernde Veränderung erfahren hatte. Das Gutachten vom 12. Mai 2010 sei vollständig überzeugend. Damit stehe mit dem erforderlichen Beweisgrad fest, dass sich der psychische Gesundheitszustand des Beschwerdeführers in den Jahren 2003 bis 2010 massgebend gebessert hatte. Dieser sei spätestens im Jahre 2010 bis zum Tag des Erlasses der angefochtenen Verfügung wieder zu 50 % arbeitsfähig gewesen. Das Gericht ermittelte - unter Berücksichtigung eines Abzuges von 15 % vom statistisch zu erwartenden zumutbaren Erwerbseinkommen - einen Invaliditätsgrad von 57,5 %.</w:t>
      </w:r>
    </w:p>
    <w:p>
      <w:r>
        <w:rPr>
          <w:b/>
        </w:rPr>
        <w:t>E. 4.1</w:t>
      </w:r>
    </w:p>
    <w:p>
      <w:r>
        <w:t>Der Beschwerdeführer macht zuerst geltend, die IV-Stelle habe sich weder im Verwaltungsverfahren, noch im erstinstanzlichen Beschwerdeverfahren festgelegt, ob die Herabsetzung des Rentenanspruchs auf einer Verbesserung des Gesundheitszustandes und damit einer Revision gemäss Art. 17 ATSG beruhe, oder ob es sich um eine sanktionsweise Leistungskürzung gestützt auf Art. 21 Abs. 4 ATSG handle. Seine Verfahrensrechte seien verletzt worden, da das kantonale Gericht im angefochtenen Entscheid von einer Revisionsverfügung ausgegangen und ihm vor der Entscheidung dieser Frage das rechtliche Gehör nicht gewährt worden sei.</w:t>
      </w:r>
    </w:p>
    <w:p>
      <w:r>
        <w:t>Diese Ausführungen sind aktenwidrig. In der erstinstanzlichen Beschwerdeantwort der IV-Stelle vom 22. April 2014 wird wörtlich angeführt: "Gegenstand der angefochtenen Verfügung ist die revisionsweise Herabsetzung des Rentenanspruchs". Die weitere Argumentation der Beschwerdegegnerin bezieht sich auf den Vergleich der massgebenden ärztlichen Einschätzungen und die Verbesserung des Gesundheitszustandes und somit auf Gesichtspunkte der Revision aufgrund veränderter Verhältnisse. In einem zweiten Schriftenwechsel wurde dem Versicherten daraufhin Gelegenheit eingeräumt, sich zur Beschwerdeantwort der IV-Stelle zu äussern. Davon hat er mit Replik vom 16. Juni 2014 denn auch Gebrauch gemacht. Damit wurde sein Gehörsanspruch vollumfänglich gewahrt.</w:t>
      </w:r>
    </w:p>
    <w:p>
      <w:r>
        <w:rPr>
          <w:b/>
        </w:rPr>
        <w:t>E. 4.2</w:t>
      </w:r>
    </w:p>
    <w:p>
      <w:r>
        <w:t>Weiter rügt der Beschwerdeführer eine rechtswidrige Sachverhaltsfeststellung. Zum einen habe das kantonale Gericht auf ein nicht aktuelles medizinisches Gutachten abgestellt. Zum anderen habe der psychiatrische Experte der MEDAS lediglich eine unzulässige Neubeurteilung desselben Gesundheitszustandes vorgenommen. Indem die Vorinstanz auf das Gutachten vom 12. Mai 2010 abgestellt habe, habe sie den Untersuchungsgrundsatz und damit Recht verletzt.</w:t>
      </w:r>
    </w:p>
    <w:p>
      <w:r>
        <w:rPr>
          <w:b/>
        </w:rPr>
        <w:t>E. 4.2.1</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vorliegenden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4.2.2</w:t>
      </w:r>
    </w:p>
    <w:p>
      <w:r>
        <w:t>Die Vorbringen des Beschwerdeführers vermögen an den vorinstanzlichen Schlussfolgerung nichts zu ändern. Im angefochtenen Entscheid wird ausführlich begründet, dass sich der Gesundheitszustand des Versicherten in den Jahren 2010 bis zum Erlass der Revisionsverfügung vom 23. Januar 2014 mit überwiegender Wahrscheinlichkeit nicht relevant verändert hatte. Zudem kam das kantonale Gericht nach Würdigung der medizinischen Akten, insbesondere des Verlaufsgutachtens vom 12. Mai 2010, zur Erkenntnis, es sei auf dieses abzustellen. Demnach stehe fest, dass sich der psychische Gesundheitszustand des Beschwerdeführers in den Jahren 2003 bis 2010 massgebend gebessert hatte. Spätestens im Jahre 2010 und bis zum Erlass der angefochtenen Verfügung sei er wieder zu 50 % arbeitsfähig gewesen. Es handle sich dabei nicht um eine anderslautende Beurteilung eines im Wesentlichen unverändert gebliebenen Sachverhaltes, sondern um eine tatsächliche Verbesserung des psychischen Gesundheitszustandes. Aufgrund dieser Feststellungen konnte von weiteren Sachverhaltsabklärungen abgesehen werden. Die vorinstanzliche Beweiswürdigung hält in allen Teilen vor Bundesrecht stand.</w:t>
      </w:r>
    </w:p>
    <w:p>
      <w:r>
        <w:rPr>
          <w:b/>
        </w:rPr>
        <w:t>E. 5</w:t>
      </w:r>
    </w:p>
    <w:p>
      <w:r>
        <w:t>Schliesslich rügt der Beschwerdeführer bezüglich der Invaliditätsbemessung, es sei zu Unrecht von einem sogenannten leidensbedingten Abzug von 15 % ausgegangen worden. Seines Erachtens hätte mindestens ein solcher von 25 % gewährt werden sollen. Er begründet dies damit, dass er als Migrant bereits als Gesunder einen knapp 15 % tieferen Lohn verdient habe.</w:t>
      </w:r>
    </w:p>
    <w:p>
      <w:r>
        <w:rPr>
          <w:b/>
        </w:rPr>
        <w:t>E. 5.1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Er darf 25 % nicht übersteigen ( BGE 126 V 75 E. 5b/bb-cc S. 80). Die Frage nach der Höhe des Abzugs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w:t>
      </w:r>
    </w:p>
    <w:p>
      <w:r>
        <w:rPr>
          <w:b/>
        </w:rPr>
        <w:t>E. 5.2</w:t>
      </w:r>
    </w:p>
    <w:p>
      <w:r>
        <w:t>Eine Rechtsfehlerhaftigkeit der Ermessensausübung ist mit der Gewährung eines Abzugs von 15 % nicht ersichtlich. Gegenstand des Abzugs bildet die Frage, ob mit Bezug auf eine konkret in Betracht fallende Tätigkeit bei ausgeglichener Arbeitsmarktlage verglichen mit einem gesunden Mitarbeiter nur bei Inkaufnahme einer Lohneinbusse reale Chancen für eine Anstellung bestehen. Da die Verwaltung - bestätigt durch die Vorinstanz - bei der Invaliditätsbemessung einen sogenannten Prozentvergleich vornahm, ist es irrelevant, ob der Beschwerdeführer als Gesunder einen Durchschnittslohn verdient hätte.</w:t>
      </w:r>
    </w:p>
    <w:p>
      <w:r>
        <w:t>Damit hat es bei der vorinstanzlich bestätigten Rentenreduktion sein Bewenden. Die Beschwerde ist daher abzuweisen.</w:t>
      </w:r>
    </w:p>
    <w:p>
      <w:r>
        <w:rPr>
          <w:b/>
        </w:rPr>
        <w:t>E. 6</w:t>
      </w:r>
    </w:p>
    <w:p>
      <w:r>
        <w:t>Der unterliegende Beschwerdeführer trägt die Gerichtskosten (Art. 66 Abs. 1).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