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8C_781/2015 vom 8. August 2016</w:t>
      </w:r>
    </w:p>
    <w:p>
      <w:r>
        <w:t>Bundesgericht, 2016-08-08, FR</w:t>
      </w:r>
    </w:p>
    <w:p>
      <w:r>
        <w:rPr>
          <w:b/>
        </w:rPr>
        <w:t xml:space="preserve">Quelle: </w:t>
      </w:r>
      <w:r>
        <w:t>https://mcp.opencaselaw.ch/entscheid/bger_8C_781_2015</w:t>
      </w:r>
    </w:p>
    <w:p>
      <w:r>
        <w:t>FR: TF 8C_781/2015 du 8 août 2016</w:t>
      </w:r>
    </w:p>
    <w:p>
      <w:r>
        <w:t>IT: TF 8C_781/2015 del 8 agosto 2016</w:t>
      </w:r>
    </w:p>
    <w:p>
      <w:pPr>
        <w:pStyle w:val="Heading2"/>
      </w:pPr>
      <w:r>
        <w:t>Erwägungen</w:t>
      </w:r>
    </w:p>
    <w:p>
      <w:r>
        <w:rPr>
          <w:b/>
        </w:rPr>
        <w:t>E. 1</w:t>
      </w:r>
    </w:p>
    <w:p>
      <w:r>
        <w:t>A.________, B.________ et l'Association X.________ ont recouru séparément contre le jugement cantonal du 8 septembre 2015. Les trois recours sont dirigés contre la même décision et portent sur des questions de droit semblables. Toutefois ils posent des problèmes de recevabilité différents et, comme les situations de fait divergent d'un cas à l'autre, les recourants soulèvent en partie des arguments distincts. En raison de ces différences et pour des raisons de clarté, il ne se justifie pas de joindre les causes.</w:t>
      </w:r>
    </w:p>
    <w:p>
      <w:r>
        <w:rPr>
          <w:b/>
        </w:rPr>
        <w:t>E. 2</w:t>
      </w:r>
    </w:p>
    <w:p>
      <w:r>
        <w:t>Le Tribunal fédéral examine d'office la recevabilité des recours qui lui sont soumis ( art. 29 al. 1 LTF ; ATF 139 III 252 consid. 1; 139 V 42 consid. 1 p. 44).</w:t>
      </w:r>
    </w:p>
    <w:p>
      <w:r>
        <w:rPr>
          <w:b/>
        </w:rPr>
        <w:t>E. 3</w:t>
      </w:r>
    </w:p>
    <w:p>
      <w:r>
        <w:t>Le recourant, employé des TPG, conteste la décision du Conseil d'administration des TPG du 27 octobre 2014 en tant qu'elle supprime certains avantages de nature économique, prévus dans le SP en faveur des personnes retraitées, à savoir une participation financière aux cotisations de l'assurance-maladie (art. 80 al. 2 SP et art. 38 al. 4 RSP) et la gratuité de transport sur le réseau entier des TPG (art. 31 al. 1 SP). Selon la jurisprudence, les règles adoptées par le conseil d'administration d'un établissement de droit public, sur la base de compétences accordées directement par le législateur cantonal, sont à considérer comme relevant du droit public cantonal ( ATF 138 I 232 consid. 1.2 p. 235 et les références citées). Ainsi, la présente cause concerne des rapports de travail de droit public parce qu'elle porte sur des avantages économiques accordés par l'employeur, en rapport étroit avec le rapport de travail. Elle relève de la compétence de la première Cour de droit social ( art. 34 let . h du règlement du Tribunal fédéral du 20 novembre 2006 [RTF]; RS 173.110.131).</w:t>
      </w:r>
    </w:p>
    <w:p>
      <w:r>
        <w:rPr>
          <w:b/>
        </w:rPr>
        <w:t>E. 4.1</w:t>
      </w:r>
    </w:p>
    <w:p>
      <w:r>
        <w:t>La décision litigieuse du Conseil d'administration des TPG du 27 octobre 2014 s'applique à un nombre indéterminé, mais qui est déterminable, de personnes retraitées et de futurs retraités des TPG. De toute évidence, cet acte ne constitue donc pas une décision administrative. Il pourrait être tenu pour un</w:t>
      </w:r>
    </w:p>
    <w:p>
      <w:r>
        <w:t>acte normatif si l'on considère qu'il s'applique à un grand nombre de retraités et qu'il modifie un acte général et abstrait (consid. 1 non publié et 2 de l' ATF 139 II 384 ; ATF 135 II 38 consid. 4.3 p. 44 s.). Il pourrait aussi s'agir d'une</w:t>
      </w:r>
    </w:p>
    <w:p>
      <w:r>
        <w:t>décision générale , soit d'un acte qui, à l'instar d'une décision particulière, régit une situation déterminée, mais qui, comme une norme légale, s'adresse à un nombre important de personnes qui ne sont individuellement pas déterminées (sur cette notion, voir ATF 134 II 272 consid. 3.2 p. 280; arrêts 5A_981/2014 du 12 mars 2015 consid. 5.1; 2C_104/2012 du 25 avril 2012 consid. 1.2).</w:t>
      </w:r>
    </w:p>
    <w:p>
      <w:r>
        <w:rPr>
          <w:b/>
        </w:rPr>
        <w:t>E. 4.2</w:t>
      </w:r>
    </w:p>
    <w:p>
      <w:r>
        <w:t>Les décisions générales entrent dans la définition des décisions pouvant faire l'objet d'un recours. Du point de vue de la protection juridique, ces actes sont donc assimilés à des décisions proprement dites (cf. ALAIN WURZBURGER, in Commentaire de la LTF, 2</w:t>
      </w:r>
    </w:p>
    <w:p>
      <w:r>
        <w:t>e éd. 2014, n. 43 ad art. 82; arrêts 8C_91/2015 du 16 décembre 2015 consid. 3.2; 5A_981/2014 du 12 mars 2015 consid. 5.1). Dans ce cas, la présente cause, qui est une contestation pécuniaire, ne tomberait donc pas sous le coup de l'exception de l' art. 83 let . g LTF. Quant au montant de la valeur litigieuse, il y a lieu de relever que les causes ont été réunies devant l'autorité précédente et ont fait l'objet d'une décision unique, de sorte que les divers chefs de conclusions peuvent être additionnés lors du calcul de la valeur litigieuse ( ATF 138 I 232 consid. 1.3 p. 235; 116 II 587 consid. 1 p. 589 et les références citées). Cela étant, le seuil de 15'000 fr. fixé à l'art. 85 al. 1 let. b serait largement dépassé. Toutefois, en admettant que la décision du Conseil d'administration des TPG constitue une décision (générale), il est douteux que le recourant, employé aux TPG, ait un intérêt concret et actuel digne de protection à l'annulation de la décision supprimant des avantages économiques accordés aux retraités (art. 89 al. 1 let. b et c LTF). En outre, il n'existe pas un intérêt public suffisamment important à la solution de la question litigieuse pour faire exceptionnellement abstraction de l'exigence d'un intérêt actuel (cf. ATF 137 I 23 consid. 1.3.1 p. 24; 136 II 101 consid. 1.1 p. 103).</w:t>
      </w:r>
    </w:p>
    <w:p>
      <w:r>
        <w:rPr>
          <w:b/>
        </w:rPr>
        <w:t>E. 4.3</w:t>
      </w:r>
    </w:p>
    <w:p>
      <w:r>
        <w:t>Le jugement attaqué pourrait aussi être déféré au Tribunal fédéral si l'acte du Conseil d'administration devait être considéré comme un acte normatif. D'après l' art. 87 LTF , le recours en matière de droit public est directement recevable contre les actes normatifs cantonaux ne pouvant faire l'objet d'un recours cantonal (al. 1). En revanche, lorsque le droit cantonal prévoit un recours contre les actes normatifs, l' art. 86 LTF est applicable (al. 2), ce qui signifie que les possibilités de recours au plan cantonal doivent être épuisées avant que le Tribunal fédéral ne puisse être saisi ( ATF 138 I 435 consid. 1.3.1 p. 440). Dans le cas particulier, la question d'un éventuel épuisement des voies de droit cantonal ne se pose pas, du moment que le litige a fait l'objet d'un recours devant le tribunal cantonal. En outre, la liste des exceptions de l' art. 83 LTF ne s'applique pas aux actes normatifs (cf. arrêts 8C_91/2015 du 16 décembre 2015 consid. 3.3; 2C_330/2013 du 10 septembre 2013 consid. 1.1 et 2C_727/2011 du 19 avril 2012 consid. 1.1). Le recours serait donc admissible sans même qu'il soit nécessaire d'examiner sa recevabilité à l'aune des conditions posées par cette disposition de la LTF. Par ailleurs, la qualité pour recourir devrait être admise en l'absence d'un intérêt concret et actuel digne de protection à l'annulation de l'acte normatif en question dès lors que, dans ce cas, elle appartient à toute personne dont les intérêts pourront être un jour touchés par cet acte ( ATF 138 I 435 consid. 1.6 p. 445; 136 I 17 consid. 2.1 p. 21).</w:t>
      </w:r>
    </w:p>
    <w:p>
      <w:r>
        <w:rPr>
          <w:b/>
        </w:rPr>
        <w:t>E. 4.4</w:t>
      </w:r>
    </w:p>
    <w:p>
      <w:r>
        <w:t>Dans le cas particulier, il n'est toutefois pas nécessaire de déterminer plus précisément la nature de la décision litigieuse car, dans un cas comme dans l'autre, le recours en matière de droit public formé à titre principal devra être rejeté. Quant au recours constitutionnel subsidiaire, il y a lieu de préciser qu'il n'entre pas en considération étant donné son caractère subsidiaire et compte tenu du fait que le défaut de qualité pour former un recours en matière de droit public n'ouvre en aucun cas la voie au recours constitutionnel subsidiaire.</w:t>
      </w:r>
    </w:p>
    <w:p>
      <w:r>
        <w:rPr>
          <w:b/>
        </w:rPr>
        <w:t>E. 5.1</w:t>
      </w:r>
    </w:p>
    <w:p>
      <w:r>
        <w:t>Le jugement attaqué repose sur le droit public cantonal (cf. consid. 3).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En outre, il ne suffit pas que les motifs de la décision critiquée soient insoutenables, encore faut-il que cette dernière soit arbitraire dans son résultat ( ATF 140 III 167 consid. 2.1 p. 168 et l'arrêt cité).</w:t>
      </w:r>
    </w:p>
    <w:p>
      <w:r>
        <w:rPr>
          <w:b/>
        </w:rPr>
        <w:t>E. 5.2</w:t>
      </w:r>
    </w:p>
    <w:p>
      <w:r>
        <w:t>Les griefs de violation des droits fondamentaux et des dispositions de droit cantonal sont en outre soumis à des exigences de motivation accrues ( art. 106 al. 2 LTF ). La partie recourante doit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140 III 385 consid. 2.3 p. 387; 138 V 67 consid. 2.2 p. 69).</w:t>
      </w:r>
    </w:p>
    <w:p>
      <w:r>
        <w:rPr>
          <w:b/>
        </w:rPr>
        <w:t>E. 6</w:t>
      </w:r>
    </w:p>
    <w:p>
      <w:r>
        <w:t>Par un premier moyen, le recourant invoque une constatation manifestement inexacte et incomplète des faits en tant que la cour cantonale aurait établi un état de fait incomplet en omettant de manière insoutenable des faits indispensables à l'appréciation du litige.</w:t>
      </w:r>
    </w:p>
    <w:p>
      <w:r>
        <w:t>Dans la mesure où l'on peut comprendre qu'il reproche aux premiers juges de n'avoir pas retenu que les employés des TPG ont eu connaissance de la décision du Conseil d'administration seulement le 3 novembre 2014, le recourant n'expose pas en quoi ce fait est pertinent pour l'issue du litige, cela d'autant que la cour cantonale est effectivement entrée en matière sur son recours. En ce qui concerne le grief que la juridiction précédente n'a examiné que les arguments et faits allégués par B.________, le recourant confond le reproche de constatation manifestement inexacte et incomplète des faits avec celui de violation du droit d'être entendu, qu'il invoque par ailleurs. Le grief de constatation manifestement inexacte et incomplète des faits apparaît ainsi mal fondé.</w:t>
      </w:r>
    </w:p>
    <w:p>
      <w:r>
        <w:rPr>
          <w:b/>
        </w:rPr>
        <w:t>E. 7.1</w:t>
      </w:r>
    </w:p>
    <w:p>
      <w:r>
        <w:t>Le recourant invoque une violation de son droit d'être entendu en tant que la motivation du jugement attaqué concerne exclusivement les griefs invoqués par B.________. En particulier, la cour cantonale n'a pas tenu compte du fait que la notification de la décision du Conseil d'administration des TPG a eu lieu seulement par le biais de l'"info-CA" du 3 novembre 2014. En outre, elle n'a pas examiné sa qualité de partie à la procédure. Quant à son grief de violation du principe de la légalité, il a été examiné uniquement par rapport à B.________, lequel n'est plus au service des TPG et ne peut dès lors se prévaloir des dispositions du CO concernant la modification du contrat de travail.</w:t>
      </w:r>
    </w:p>
    <w:p>
      <w:r>
        <w:rPr>
          <w:b/>
        </w:rPr>
        <w:t>E. 7.2</w:t>
      </w:r>
    </w:p>
    <w:p>
      <w:r>
        <w:t>Une autorité cantonale viole le droit d'être entendu découlant de l' art. 29 al. 2 Cst. lorsqu'elle ne respecte pas son obligation de motiver ses décisions de manière que le justiciable puisse les comprendre et exercer ses droits de recours à bon escient. Pour satisfaire à cette exigence, il suffit qu'elle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p. 237; 137 II 266 consid. 3.2 p. 270). L'essentiel est que la décision indique clairement les faits qui sont établis et les déductions juridiques qui sont tirées de l'état de fait déterminant ( ATF 135 II 145 consid. 8.2 p. 153).</w:t>
      </w:r>
    </w:p>
    <w:p>
      <w:r>
        <w:rPr>
          <w:b/>
        </w:rPr>
        <w:t>E. 7.3</w:t>
      </w:r>
    </w:p>
    <w:p>
      <w:r>
        <w:t>En l'occurrence, l'absence de motivation quant au mode de notification de la décision litigieuse et à la qualité de partie du recourant n'est pas pertinente pour juger d'une violation éventuelle du droit d'être entendu du moment que la cour cantonale est entrée en matière sur le recours de l'intéressé et que celui-ci ne semble pas s'en plaindre. En ce qui concerne le grief de violation du principe de la légalité, il y a lieu de relever que le reproche selon lequel la cour cantonale aurait méconnu un élément décisif aux yeux du recourant constitue une motivation attaquable. Si l'intéressé estime que, ce faisant, l'autorité précédente a méconnu le droit, il doit invoquer la violation des règles concernées et non celle du droit d'être entendu (cf. arrêts 8C_506/2015 du 22 mars 2016 consid. 4.2; 5A_409/2014 du 15 septembre 2014 consid. 3.2). Le grief de violation de l' art. 29 Cst. n'est dès lors pas fondé.</w:t>
      </w:r>
    </w:p>
    <w:p>
      <w:r>
        <w:rPr>
          <w:b/>
        </w:rPr>
        <w:t>E. 8.1</w:t>
      </w:r>
    </w:p>
    <w:p>
      <w:r>
        <w:t>Le recourant soulève le grief d'application arbitraire de l'art. 90 SP en liaison avec l'art. 2 al. 3 SP, en tant que la cour cantonale a jugé valable la modification du SP et, partant, la suppression des avantages économiques accordés aux personnes retraitées. Aux termes de l'art. 90 SP, intitulé "consultation du personnel", toute modification du SP, du RSP et des règlements particuliers devra faire l'objet d'une négociation avec les organisations représentatives du personnel. Alléguant que cette disposition statutaire ne précise pas si cette négociation doit aboutir à un accord pour admettre la validité d'une modification du SP, le recourant soutient qu'il y a lieu en l'occurrence de se référer à l'art. 2 al. 3 SP, aux termes duquel le CO, notamment son titre dixième (du contrat de travail), s'applique à titre de droit public supplétif. Cela est d'autant plus vrai qu'en l'espèce l'intéressé, à la différence d'un retraité, est toujours lié aux TPG par des rapports de service. Aussi le recourant est-il d'avis que le Conseil d'administration des TPG ne pouvait pas modifier le SP sans l'accord du personnel, comme l'exigent les règles concernant la modification du contrat de travail. Cela étant, il invoque une application arbitraire de ces dispositions en tant que les premiers juges ont considéré que la seule ouverture de négociations avec les représentants du personnel était suffisante ou encore que le protocole d'accord conclu ultérieurement les 3 et 10 décembre 2014 mettait fin aux dissensions et réparait la violation éventuelle de l'art. 90 SP. Selon l'intéressé, non seulement ce protocole d'accord est provisoire mais il ne rétablit pas la situation qui prévalait avant la décision litigieuse du Conseil d'administration de supprimer les avantages économiques accordés aux personnes retraitées.</w:t>
      </w:r>
    </w:p>
    <w:p>
      <w:r>
        <w:rPr>
          <w:b/>
        </w:rPr>
        <w:t>E. 8.2</w:t>
      </w:r>
    </w:p>
    <w:p>
      <w:r>
        <w:t>Le point de vue du recourant ne saurait être partagé. La cour cantonale a considéré qu'en tentant d'établir des solutions alternatives en concertation avec le personnel, le Conseil d'administration des TPG avait respecté les exigences de l'art. 90 SP quand bien même un accord n'avait pas pu être trouvé avec les employés. En effet, selon les premiers juges, il ne ressort pas de cette disposition statutaire, intitulée: "consultation du personnel", que toute modification du SP supposerait l'accord préalable des représentants du personnel mais qu'en revanche une négociation doit avoir lieu. Or, le recourant ne démontre pas en quoi il est insoutenable de considérer que le SP ne fait pas dépendre toute modification statutaire d'un accord préalable des représentants du personnel. En outre, il n'est pas arbitraire de retenir que le système spécifique de modification statutaire prévu à l'art. 90 SP l'emporte sur les dispositions du CO régissant la modification du contrat de travail. Cela étant, le grief d'application arbitraire de l'art. 90 SP se révèle mal fondé.</w:t>
      </w:r>
    </w:p>
    <w:p>
      <w:r>
        <w:rPr>
          <w:b/>
        </w:rPr>
        <w:t>E. 9.1</w:t>
      </w:r>
    </w:p>
    <w:p>
      <w:r>
        <w:t>En outre, le recourant invoque une violation du principe de l'égalité de traitement consacré à l' art. 8 Cst. en tant que la cour cantonale a rejeté son grief selon lequel le Conseil d'administration des TPG aurait dû, conformément à ce principe, supprimer également les avantages économiques accordés aux personnes invalides et aux tiers. En ce qui concerne ces derniers, il fait valoir qu'"il semblerait que les TPG accordent chaque année, depuis plusieurs années déjà, des avantages en nature à des tierces personnes". En outre, il allègue que la décision litigieuse consacre une inégalité de traitement entre les retraités et les employés actuels et futurs des TPG, dans la mesure où les futurs retraités ont la possibilité d'anticiper les conséquences de la suppression des avantages statutaires. En particulier, les futurs employés des TPG pourront faire des économies en prévision de la période de retraite durant laquelle ils ne bénéficieront plus de ces avantages, voire négocier leur salaire en conséquence ou même renoncer à travailler au service des TPG.</w:t>
      </w:r>
    </w:p>
    <w:p>
      <w:r>
        <w:rPr>
          <w:b/>
        </w:rPr>
        <w:t>E. 9.2</w:t>
      </w:r>
    </w:p>
    <w:p>
      <w:r>
        <w:t>Selon la jurisprudence,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rPr>
          <w:b/>
        </w:rPr>
        <w:t>E. 9.3</w:t>
      </w:r>
    </w:p>
    <w:p>
      <w:r>
        <w:t>En ce qui concerne les facilités de voyage qui seraient maintenues aux seuls invalides (art. 50 et 51 RSP), le recourant n'expose pas en quoi la situation des retraités des TPG est semblable à celle des personnes invalides. Celles-ci sont généralement frappées d'un handicap qui est susceptible d'entraver leur mobilité, ce qui n'est pas le cas des personnes retraitées et pas nécessairement non plus des plus âgées d'entre elles. Cette circonstance, liée à la mobilité, est de nature à justifier, objectivement, un traitement différencié. Au surplus, il convient de mentionner la loi sur les prestations complémentaires cantonales (LPCC [RSG J 4 25]), en vertu de laquelle les personnes âgées, les conjoints ou partenaires enregistrés survivants, les orphelins et les invalides qui sont au bénéfice des prestations cantonales complémentaires à l'assurance-vieillesse, survivants et invalidité ont la possibilité de recevoir, moyennant participation financière aux coûts, un abonnement annuel "UNIRESO" des TPG, valable sur le territoire cantonal ( art. 1er al. 1 et art. 17 LPCC ). Les retraités des TPG qui ne parviendraient pas à couvrir leurs besoins vitaux pourraient ainsi bénéficier des facilités de transport prévues par cette législation.</w:t>
      </w:r>
    </w:p>
    <w:p>
      <w:r>
        <w:t>Par ailleurs, en tant qu'employé actuel des TPG, le recourant ne peut se prévaloir de l'argument selon lequel les retraités subiraient une inégalité de traitement par rapport aux futurs retraités, lesquels ont la possibilité d'anticiper les effets de la suppression des avantages statutaires. En cette qualité, il ne saurait non plus se plaindre que les futurs employés des TPG seraient avantagés dans la mesure où ils pourront négocier leur salaire en prévision de la perte des avantages économiques, voire renoncer à travailler au service des TPG pour prendre un autre emploi. Ce grief frise même la témérité étant donné que l'égalité de traitement n'exige pas nécessairement que l'on traite à tous égards et de la même manière des employés et de futurs employés (cf. arrêts 8C_969/2012 du 2 avril 2013 consid. 2.2; 2P.70/2004 du 17 janvier 2005 consid. 2.2).</w:t>
      </w:r>
    </w:p>
    <w:p>
      <w:r>
        <w:t>Enfin, en ce qui concerne le grief selon lequel des "tiers" bénéficieraient d'"avantages en nature" accordés par les TPG, il est inconsistant et ne satisfait pas aux exigences de motivation (art. 42 al. 2 en liaison avec l' art. 106 al. 2 LTF ).</w:t>
      </w:r>
    </w:p>
    <w:p>
      <w:r>
        <w:t>Vu ce qui précède, le grief de violation du principe de l'égalité de traitement se révèle mal fondé.</w:t>
      </w:r>
    </w:p>
    <w:p>
      <w:r>
        <w:rPr>
          <w:b/>
        </w:rPr>
        <w:t>E. 10.1</w:t>
      </w:r>
    </w:p>
    <w:p>
      <w:r>
        <w:t>Par ailleurs, le recourant fait valoir que le jugement attaqué consacre une violation du principe de proportionnalité en tant qu'il confirme la suppression des avantages économiques accordés aux retraités. Selon l'intéressé, les TPG ont d'autres moyens, "moins incisifs et plus proportionnés" afin de réaliser des bénéfices en vue d'atteindre le but visé par la décision de son Conseil d'administration, à savoir "assurer la pérennité financière de la FPTPG". Ainsi, ils auraient pu envisager des économies pour l'avenir en supprimant les avantages statutaires uniquement pour les futurs employés.</w:t>
      </w:r>
    </w:p>
    <w:p>
      <w:r>
        <w:rPr>
          <w:b/>
        </w:rPr>
        <w:t>E. 10.2</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1C_86/2015 du 20 avril 2016 consid. 3.5.1; ATF 138 I 331 consid. 7.4.3.1 p. 346; 136 IV 97 consid. 5.2.2 p. 104 et les arrêts cités).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w:t>
      </w:r>
    </w:p>
    <w:p>
      <w:r>
        <w:rPr>
          <w:b/>
        </w:rPr>
        <w:t>E. 10.3</w:t>
      </w:r>
    </w:p>
    <w:p>
      <w:r>
        <w:t>En l'occurrence, la cour cantonale a constaté que la suppression des avantages économiques accordés aux retraités, mise en oeuvre sous l'impulsion du Conseil d'Etat et inscrite aux budgets de fonctionnement et d'investissement des TPG, approuvés par le Conseil d'Etat, était apte à atteindre les buts visés. Par ailleurs, les premiers juges ont relevé que les TPG avaient cherché à atténuer la rigueur de cette mesure en concluant un protocole d'accord en vertu duquel ils ont constitué une provision permettant d'allouer aux retraités un montant annuel forfaitaire de 700 fr. pour les années 2015 et 2016. Même si cet accord avait des effets limités dans le temps, la cour cantonale a considéré que les TPG n'avaient pas violé le principe de proportionnalité.</w:t>
      </w:r>
    </w:p>
    <w:p>
      <w:r>
        <w:t>Ce point de vue n'est pas critiquable. En effet, bien qu'il soutienne que d'autres moyens, "moins incisifs et plus proportionnés" aient été envisageables pour atteindre le but d'économie envisagé, le recourant n'indique aucune mesure convaincante apte à réaliser cet objectif, la suppression des avantages statutaires uniquement pour les futurs employés des TPG n'apparaissant pas propre à produire les résultats escomptés. Le grief de violation du principe de proportionnalité se révèle ainsi mal fondé, dans la mesure où il est admissible sous l'angle des exigences de motivation (art. 42 al. 2 en liaison avec l' art. 106 al. 2 LTF ).</w:t>
      </w:r>
    </w:p>
    <w:p>
      <w:r>
        <w:rPr>
          <w:b/>
        </w:rPr>
        <w:t>E. 11.1</w:t>
      </w:r>
    </w:p>
    <w:p>
      <w:r>
        <w:t>Le recourant fait valoir que la décision de suppression des avantages économiques accordés aux retraités ne repose sur aucun intérêt public, dans la mesure où l'abolition de la gratuité des transports "ne coûte rien" mais relève d'une estimation d'un éventuel manque à gagner. Ce faisant, il conteste le point de vue de la cour cantonale, selon lequel la décision litigieuse s'inscrit dans le cadre de la recapitalisation de la FPTPG fondée sur des mesures d'économie réelle. A cet égard, les premiers juges ont constaté que l'impact des avantages accordés aux retraités s'élève, dans le budget 2013, à 57'794 fr. pour la part de la provision relative aux avantages du personnel et à 450'000 fr. pour la part des charges liées au paiement de la contribution à la cotisation d'assurance-maladie pour les retraités. Aussi a-t-elle retenu que la suppression des avantages en question permettrait aux TPG de réaliser des économies évaluables à 500'000 fr. pour l'année 2015.</w:t>
      </w:r>
    </w:p>
    <w:p>
      <w:r>
        <w:rPr>
          <w:b/>
        </w:rPr>
        <w:t>E. 11.2</w:t>
      </w:r>
    </w:p>
    <w:p>
      <w:r>
        <w:t>En l'occurrence, le grief du recourant est de nature purement appellatoire et n'expose pas en quoi les faits retenus par la juridiction précédente l'ont été d'une manière absolument inadmissible (cf. ATF 133 IV 286 ). C'est pourquoi le Tribunal fédéral n'a pas à entrer en matière sur les critiques de l'intéressé tendant à démontrer que la cour cantonale a retenu à tort l'existence d'un intérêt public à la décision litigieuse du Conseil d'administration des TPG (cf. ATF 137 II 353 consid. 5.1 p. 356; 136 II 101 consid. 3 p. 104 s. et les arrêts cités).</w:t>
      </w:r>
    </w:p>
    <w:p>
      <w:r>
        <w:rPr>
          <w:b/>
        </w:rPr>
        <w:t>E. 12.1</w:t>
      </w:r>
    </w:p>
    <w:p>
      <w:r>
        <w:t>Par un ultime moyen, le recourant fait valoir que la suppression des avantages économiques accordés aux retraités constitue une violation de son droit à la protection de la bonne foi consacré à l' art. 9 Cst. , en relation avec la garantie des droits acquis. Il conteste le point de vue de la cour cantonale selon lequel tous les employés des TPG, à qui le SP avait été remis, avaient connaissance de l'art. 90 SP, de sorte qu'ils ne pouvaient se prévaloir de l'assurance que les dispositions statutaires ne seraient pas modifiées à l'avenir. Il soutient avoir reçu l'assurance, lors de son entretien d'embauche, que des avantages économiques lui seraient accordés après la mise à la retraite et que cette assurance l'a incité à accepter un emploi au service des TPG. En outre, la validité des avantages économiques accordés aux retraités a été confirmée au moment où il a pris connaissance du SP, lequel garantit la stabilité de ces avantages par le biais de l'art. 90 SP qui dispose que toute modification des dispositions statutaires doit faire l'objet d'une négociation. Il infère de cela que les avantages en question sont des droits acquis et, partant, qu'ils ne peuvent être supprimés qu'aux conditions auxquelles est soumise la restriction de la propriété.</w:t>
      </w:r>
    </w:p>
    <w:p>
      <w:r>
        <w:rPr>
          <w:b/>
        </w:rPr>
        <w:t>E. 12.2</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 ATF 131 II 627 consid. 6.1 p. 637; 131 V 472 consid. 5 p. 480; 129 I 161 consid. 4.1 p. 170; 129 II 361 consid. 7.1 p. 381 et les références). Le principe de la bonne foi n'empêche toutefois pas les changements de loi mais il lie le législateur, en particulier lorsqu'il a promis dans la loi que celle-ci ne serait pas modifiée ou serait maintenue telle quelle pendant un certain temps, créant ainsi un droit acquis. Les droits acquis ne peuvent se fonder que sur une loi, un acte administratif ou un contrat de droit administratif; l'autorité doit avoir voulu exclure toute suppression ou restriction ultérieure du droit par une modification législative (arrêts 1C_570/2010 du 10 avril 2012 consid. 3.1; 2P.134/2003 du 6 septembre 2004 consid. 8.2 [RDAF 2005 I 182] et les références).</w:t>
      </w:r>
    </w:p>
    <w:p>
      <w:r>
        <w:rPr>
          <w:b/>
        </w:rPr>
        <w:t>E. 12.3</w:t>
      </w:r>
    </w:p>
    <w:p>
      <w:r>
        <w:t>En l'espèce, le recourant ne prétend pas qu'il serait au bénéfice d'un acte ou d'une promesse lui garantissant que les avantages économiques accordés aux retraités ne seraient ni supprimés ni même réduits durant toute la durée de sa future retraite. Le grief de violation du droit à la protection de la bonne foi, en relation avec la garantie des droits acquis doit dès lors être écarté.</w:t>
      </w:r>
    </w:p>
    <w:p>
      <w:r>
        <w:rPr>
          <w:b/>
        </w:rPr>
        <w:t>E. 13</w:t>
      </w:r>
    </w:p>
    <w:p>
      <w:r>
        <w:t>Vu ce qui précède, le recours en matière de droit public est mal fondé. Quant au recours constitutionnel subsidiaire, il est irrecevable.</w:t>
      </w:r>
    </w:p>
    <w:p>
      <w:r>
        <w:t>Le recourant, qui succombe, supportera les frais judiciaires (art. 66 al.</w:t>
      </w:r>
    </w:p>
    <w:p>
      <w:r>
        <w:rPr>
          <w:b/>
        </w:rPr>
        <w:t>E. 14</w:t>
      </w:r>
    </w:p>
    <w:p>
      <w:r>
        <w:t>1 LTF). Les intimés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